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32EFBC84" w14:textId="655FFCC7" w:rsidR="005111A2" w:rsidRDefault="005111A2" w:rsidP="005111A2">
      <w:pPr>
        <w:pStyle w:val="Titul2"/>
      </w:pPr>
      <w:r w:rsidRPr="006C2343">
        <w:t xml:space="preserve">Zhotovení </w:t>
      </w:r>
      <w:r>
        <w:t xml:space="preserve">souboru </w:t>
      </w:r>
      <w:r w:rsidRPr="006C2343">
        <w:t>sta</w:t>
      </w:r>
      <w:r>
        <w:t xml:space="preserve">veb </w:t>
      </w:r>
    </w:p>
    <w:p w14:paraId="321FE6C0" w14:textId="1DEEDCF3" w:rsidR="005111A2" w:rsidRPr="00781B82" w:rsidRDefault="005111A2" w:rsidP="005111A2">
      <w:pPr>
        <w:pStyle w:val="Titul2"/>
      </w:pPr>
      <w:r>
        <w:t xml:space="preserve"> </w:t>
      </w:r>
      <w:r w:rsidRPr="00781B82">
        <w:t>„Rekonstrukce ŽST Chrastava“</w:t>
      </w:r>
    </w:p>
    <w:p w14:paraId="0CE42294" w14:textId="500D86B1" w:rsidR="005111A2" w:rsidRDefault="005111A2" w:rsidP="005111A2">
      <w:pPr>
        <w:pStyle w:val="Titul2"/>
      </w:pPr>
      <w:r>
        <w:t xml:space="preserve"> </w:t>
      </w:r>
      <w:r w:rsidRPr="00781B82">
        <w:t>„Rekonstrukce ŽST Hrádek nad Nisou“</w:t>
      </w:r>
      <w:r>
        <w:t xml:space="preserve"> </w:t>
      </w:r>
    </w:p>
    <w:p w14:paraId="326F2FB6" w14:textId="77777777" w:rsidR="006C1ECA" w:rsidRDefault="006C1ECA" w:rsidP="00887491">
      <w:pPr>
        <w:pStyle w:val="Text1-1"/>
        <w:numPr>
          <w:ilvl w:val="0"/>
          <w:numId w:val="0"/>
        </w:numPr>
        <w:tabs>
          <w:tab w:val="left" w:pos="708"/>
        </w:tabs>
        <w:ind w:left="737" w:hanging="737"/>
      </w:pPr>
    </w:p>
    <w:p w14:paraId="60207729" w14:textId="77777777" w:rsidR="005111A2" w:rsidRDefault="005111A2" w:rsidP="005111A2">
      <w:pPr>
        <w:pStyle w:val="Text1-1"/>
        <w:numPr>
          <w:ilvl w:val="0"/>
          <w:numId w:val="0"/>
        </w:numPr>
        <w:tabs>
          <w:tab w:val="left" w:pos="708"/>
        </w:tabs>
        <w:ind w:left="737" w:hanging="737"/>
      </w:pPr>
      <w:r>
        <w:t xml:space="preserve">Č.j. </w:t>
      </w:r>
      <w:r w:rsidRPr="00BD5553">
        <w:t>26694/2023-SŽ-SSZ-OVZ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1B33D2DB" w14:textId="77777777" w:rsidR="001927BE" w:rsidRDefault="001927BE" w:rsidP="00912983">
      <w:pPr>
        <w:spacing w:after="0"/>
        <w:rPr>
          <w:i/>
          <w:color w:val="FF0000"/>
        </w:rPr>
      </w:pPr>
    </w:p>
    <w:p w14:paraId="6F3AD9B0" w14:textId="2E715116"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38E4102B" w14:textId="6DCFC750" w:rsidR="003D676E" w:rsidRDefault="00BD7E91" w:rsidP="003D676E">
      <w:pPr>
        <w:pStyle w:val="Obsah1"/>
        <w:rPr>
          <w:rFonts w:eastAsiaTheme="minorEastAsia"/>
          <w:noProof/>
          <w:kern w:val="2"/>
          <w:sz w:val="22"/>
          <w:szCs w:val="22"/>
          <w:lang w:eastAsia="cs-CZ"/>
          <w14:ligatures w14:val="standardContextual"/>
        </w:rPr>
      </w:pPr>
      <w:r>
        <w:fldChar w:fldCharType="begin"/>
      </w:r>
      <w:r>
        <w:instrText xml:space="preserve"> TOC \o "1-2" \h \z \u </w:instrText>
      </w:r>
      <w:r>
        <w:fldChar w:fldCharType="separate"/>
      </w:r>
      <w:hyperlink w:anchor="_Toc157153144" w:history="1">
        <w:r w:rsidR="003D676E" w:rsidRPr="00F36904">
          <w:rPr>
            <w:rStyle w:val="Hypertextovodkaz"/>
          </w:rPr>
          <w:t>1.</w:t>
        </w:r>
        <w:r w:rsidR="003D676E">
          <w:rPr>
            <w:rFonts w:eastAsiaTheme="minorEastAsia"/>
            <w:noProof/>
            <w:kern w:val="2"/>
            <w:sz w:val="22"/>
            <w:szCs w:val="22"/>
            <w:lang w:eastAsia="cs-CZ"/>
            <w14:ligatures w14:val="standardContextual"/>
          </w:rPr>
          <w:tab/>
        </w:r>
        <w:r w:rsidR="003D676E" w:rsidRPr="00F36904">
          <w:rPr>
            <w:rStyle w:val="Hypertextovodkaz"/>
          </w:rPr>
          <w:t>ÚVODNÍ USTANOVENÍ</w:t>
        </w:r>
        <w:r w:rsidR="003D676E">
          <w:rPr>
            <w:noProof/>
            <w:webHidden/>
          </w:rPr>
          <w:tab/>
        </w:r>
        <w:r w:rsidR="003D676E">
          <w:rPr>
            <w:noProof/>
            <w:webHidden/>
          </w:rPr>
          <w:fldChar w:fldCharType="begin"/>
        </w:r>
        <w:r w:rsidR="003D676E">
          <w:rPr>
            <w:noProof/>
            <w:webHidden/>
          </w:rPr>
          <w:instrText xml:space="preserve"> PAGEREF _Toc157153144 \h </w:instrText>
        </w:r>
        <w:r w:rsidR="003D676E">
          <w:rPr>
            <w:noProof/>
            <w:webHidden/>
          </w:rPr>
        </w:r>
        <w:r w:rsidR="003D676E">
          <w:rPr>
            <w:noProof/>
            <w:webHidden/>
          </w:rPr>
          <w:fldChar w:fldCharType="separate"/>
        </w:r>
        <w:r w:rsidR="00A56F49">
          <w:rPr>
            <w:noProof/>
            <w:webHidden/>
          </w:rPr>
          <w:t>3</w:t>
        </w:r>
        <w:r w:rsidR="003D676E">
          <w:rPr>
            <w:noProof/>
            <w:webHidden/>
          </w:rPr>
          <w:fldChar w:fldCharType="end"/>
        </w:r>
      </w:hyperlink>
    </w:p>
    <w:p w14:paraId="204D1EAF" w14:textId="0573D8F6" w:rsidR="003D676E" w:rsidRDefault="00A56F49" w:rsidP="003D676E">
      <w:pPr>
        <w:pStyle w:val="Obsah1"/>
        <w:rPr>
          <w:rFonts w:eastAsiaTheme="minorEastAsia"/>
          <w:noProof/>
          <w:kern w:val="2"/>
          <w:sz w:val="22"/>
          <w:szCs w:val="22"/>
          <w:lang w:eastAsia="cs-CZ"/>
          <w14:ligatures w14:val="standardContextual"/>
        </w:rPr>
      </w:pPr>
      <w:hyperlink w:anchor="_Toc157153145" w:history="1">
        <w:r w:rsidR="003D676E" w:rsidRPr="00F36904">
          <w:rPr>
            <w:rStyle w:val="Hypertextovodkaz"/>
          </w:rPr>
          <w:t>2.</w:t>
        </w:r>
        <w:r w:rsidR="003D676E">
          <w:rPr>
            <w:rFonts w:eastAsiaTheme="minorEastAsia"/>
            <w:noProof/>
            <w:kern w:val="2"/>
            <w:sz w:val="22"/>
            <w:szCs w:val="22"/>
            <w:lang w:eastAsia="cs-CZ"/>
            <w14:ligatures w14:val="standardContextual"/>
          </w:rPr>
          <w:tab/>
        </w:r>
        <w:r w:rsidR="003D676E" w:rsidRPr="00F36904">
          <w:rPr>
            <w:rStyle w:val="Hypertextovodkaz"/>
          </w:rPr>
          <w:t>IDENTIFIKAČNÍ ÚDAJE ZADAVATELE</w:t>
        </w:r>
        <w:r w:rsidR="003D676E">
          <w:rPr>
            <w:noProof/>
            <w:webHidden/>
          </w:rPr>
          <w:tab/>
        </w:r>
        <w:r w:rsidR="003D676E">
          <w:rPr>
            <w:noProof/>
            <w:webHidden/>
          </w:rPr>
          <w:fldChar w:fldCharType="begin"/>
        </w:r>
        <w:r w:rsidR="003D676E">
          <w:rPr>
            <w:noProof/>
            <w:webHidden/>
          </w:rPr>
          <w:instrText xml:space="preserve"> PAGEREF _Toc157153145 \h </w:instrText>
        </w:r>
        <w:r w:rsidR="003D676E">
          <w:rPr>
            <w:noProof/>
            <w:webHidden/>
          </w:rPr>
        </w:r>
        <w:r w:rsidR="003D676E">
          <w:rPr>
            <w:noProof/>
            <w:webHidden/>
          </w:rPr>
          <w:fldChar w:fldCharType="separate"/>
        </w:r>
        <w:r>
          <w:rPr>
            <w:noProof/>
            <w:webHidden/>
          </w:rPr>
          <w:t>3</w:t>
        </w:r>
        <w:r w:rsidR="003D676E">
          <w:rPr>
            <w:noProof/>
            <w:webHidden/>
          </w:rPr>
          <w:fldChar w:fldCharType="end"/>
        </w:r>
      </w:hyperlink>
    </w:p>
    <w:p w14:paraId="499EE9FA" w14:textId="48570ADE" w:rsidR="003D676E" w:rsidRDefault="00A56F49" w:rsidP="003D676E">
      <w:pPr>
        <w:pStyle w:val="Obsah1"/>
        <w:rPr>
          <w:rFonts w:eastAsiaTheme="minorEastAsia"/>
          <w:noProof/>
          <w:kern w:val="2"/>
          <w:sz w:val="22"/>
          <w:szCs w:val="22"/>
          <w:lang w:eastAsia="cs-CZ"/>
          <w14:ligatures w14:val="standardContextual"/>
        </w:rPr>
      </w:pPr>
      <w:hyperlink w:anchor="_Toc157153146" w:history="1">
        <w:r w:rsidR="003D676E" w:rsidRPr="00F36904">
          <w:rPr>
            <w:rStyle w:val="Hypertextovodkaz"/>
          </w:rPr>
          <w:t>3.</w:t>
        </w:r>
        <w:r w:rsidR="003D676E">
          <w:rPr>
            <w:rFonts w:eastAsiaTheme="minorEastAsia"/>
            <w:noProof/>
            <w:kern w:val="2"/>
            <w:sz w:val="22"/>
            <w:szCs w:val="22"/>
            <w:lang w:eastAsia="cs-CZ"/>
            <w14:ligatures w14:val="standardContextual"/>
          </w:rPr>
          <w:tab/>
        </w:r>
        <w:r w:rsidR="003D676E" w:rsidRPr="00F36904">
          <w:rPr>
            <w:rStyle w:val="Hypertextovodkaz"/>
          </w:rPr>
          <w:t>KOMUNIKACE MEZI ZADAVATELEM a DODAVATELEM</w:t>
        </w:r>
        <w:r w:rsidR="003D676E">
          <w:rPr>
            <w:noProof/>
            <w:webHidden/>
          </w:rPr>
          <w:tab/>
        </w:r>
        <w:r w:rsidR="003D676E">
          <w:rPr>
            <w:noProof/>
            <w:webHidden/>
          </w:rPr>
          <w:fldChar w:fldCharType="begin"/>
        </w:r>
        <w:r w:rsidR="003D676E">
          <w:rPr>
            <w:noProof/>
            <w:webHidden/>
          </w:rPr>
          <w:instrText xml:space="preserve"> PAGEREF _Toc157153146 \h </w:instrText>
        </w:r>
        <w:r w:rsidR="003D676E">
          <w:rPr>
            <w:noProof/>
            <w:webHidden/>
          </w:rPr>
        </w:r>
        <w:r w:rsidR="003D676E">
          <w:rPr>
            <w:noProof/>
            <w:webHidden/>
          </w:rPr>
          <w:fldChar w:fldCharType="separate"/>
        </w:r>
        <w:r>
          <w:rPr>
            <w:noProof/>
            <w:webHidden/>
          </w:rPr>
          <w:t>4</w:t>
        </w:r>
        <w:r w:rsidR="003D676E">
          <w:rPr>
            <w:noProof/>
            <w:webHidden/>
          </w:rPr>
          <w:fldChar w:fldCharType="end"/>
        </w:r>
      </w:hyperlink>
    </w:p>
    <w:p w14:paraId="708303D1" w14:textId="4E48B4A6" w:rsidR="003D676E" w:rsidRDefault="00A56F49" w:rsidP="003D676E">
      <w:pPr>
        <w:pStyle w:val="Obsah1"/>
        <w:rPr>
          <w:rFonts w:eastAsiaTheme="minorEastAsia"/>
          <w:noProof/>
          <w:kern w:val="2"/>
          <w:sz w:val="22"/>
          <w:szCs w:val="22"/>
          <w:lang w:eastAsia="cs-CZ"/>
          <w14:ligatures w14:val="standardContextual"/>
        </w:rPr>
      </w:pPr>
      <w:hyperlink w:anchor="_Toc157153147" w:history="1">
        <w:r w:rsidR="003D676E" w:rsidRPr="00F36904">
          <w:rPr>
            <w:rStyle w:val="Hypertextovodkaz"/>
          </w:rPr>
          <w:t>4.</w:t>
        </w:r>
        <w:r w:rsidR="003D676E">
          <w:rPr>
            <w:rFonts w:eastAsiaTheme="minorEastAsia"/>
            <w:noProof/>
            <w:kern w:val="2"/>
            <w:sz w:val="22"/>
            <w:szCs w:val="22"/>
            <w:lang w:eastAsia="cs-CZ"/>
            <w14:ligatures w14:val="standardContextual"/>
          </w:rPr>
          <w:tab/>
        </w:r>
        <w:r w:rsidR="003D676E" w:rsidRPr="00F36904">
          <w:rPr>
            <w:rStyle w:val="Hypertextovodkaz"/>
          </w:rPr>
          <w:t>ÚČEL a PŘEDMĚT PLNĚNÍ VEŘEJNÉ ZAKÁZKY</w:t>
        </w:r>
        <w:r w:rsidR="003D676E">
          <w:rPr>
            <w:noProof/>
            <w:webHidden/>
          </w:rPr>
          <w:tab/>
        </w:r>
        <w:r w:rsidR="003D676E">
          <w:rPr>
            <w:noProof/>
            <w:webHidden/>
          </w:rPr>
          <w:fldChar w:fldCharType="begin"/>
        </w:r>
        <w:r w:rsidR="003D676E">
          <w:rPr>
            <w:noProof/>
            <w:webHidden/>
          </w:rPr>
          <w:instrText xml:space="preserve"> PAGEREF _Toc157153147 \h </w:instrText>
        </w:r>
        <w:r w:rsidR="003D676E">
          <w:rPr>
            <w:noProof/>
            <w:webHidden/>
          </w:rPr>
        </w:r>
        <w:r w:rsidR="003D676E">
          <w:rPr>
            <w:noProof/>
            <w:webHidden/>
          </w:rPr>
          <w:fldChar w:fldCharType="separate"/>
        </w:r>
        <w:r>
          <w:rPr>
            <w:noProof/>
            <w:webHidden/>
          </w:rPr>
          <w:t>4</w:t>
        </w:r>
        <w:r w:rsidR="003D676E">
          <w:rPr>
            <w:noProof/>
            <w:webHidden/>
          </w:rPr>
          <w:fldChar w:fldCharType="end"/>
        </w:r>
      </w:hyperlink>
    </w:p>
    <w:p w14:paraId="6D366D9F" w14:textId="56472184" w:rsidR="003D676E" w:rsidRDefault="00A56F49" w:rsidP="003D676E">
      <w:pPr>
        <w:pStyle w:val="Obsah1"/>
        <w:rPr>
          <w:rFonts w:eastAsiaTheme="minorEastAsia"/>
          <w:noProof/>
          <w:kern w:val="2"/>
          <w:sz w:val="22"/>
          <w:szCs w:val="22"/>
          <w:lang w:eastAsia="cs-CZ"/>
          <w14:ligatures w14:val="standardContextual"/>
        </w:rPr>
      </w:pPr>
      <w:hyperlink w:anchor="_Toc157153148" w:history="1">
        <w:r w:rsidR="003D676E" w:rsidRPr="00F36904">
          <w:rPr>
            <w:rStyle w:val="Hypertextovodkaz"/>
          </w:rPr>
          <w:t>5.</w:t>
        </w:r>
        <w:r w:rsidR="003D676E">
          <w:rPr>
            <w:rFonts w:eastAsiaTheme="minorEastAsia"/>
            <w:noProof/>
            <w:kern w:val="2"/>
            <w:sz w:val="22"/>
            <w:szCs w:val="22"/>
            <w:lang w:eastAsia="cs-CZ"/>
            <w14:ligatures w14:val="standardContextual"/>
          </w:rPr>
          <w:tab/>
        </w:r>
        <w:r w:rsidR="003D676E" w:rsidRPr="00F36904">
          <w:rPr>
            <w:rStyle w:val="Hypertextovodkaz"/>
          </w:rPr>
          <w:t>ZDROJE FINANCOVÁNÍ a PŘEDPOKLÁDANÁ HODNOTA VEŘEJNÉ ZAKÁZKY</w:t>
        </w:r>
        <w:r w:rsidR="003D676E">
          <w:rPr>
            <w:noProof/>
            <w:webHidden/>
          </w:rPr>
          <w:tab/>
        </w:r>
        <w:r w:rsidR="003D676E">
          <w:rPr>
            <w:noProof/>
            <w:webHidden/>
          </w:rPr>
          <w:fldChar w:fldCharType="begin"/>
        </w:r>
        <w:r w:rsidR="003D676E">
          <w:rPr>
            <w:noProof/>
            <w:webHidden/>
          </w:rPr>
          <w:instrText xml:space="preserve"> PAGEREF _Toc157153148 \h </w:instrText>
        </w:r>
        <w:r w:rsidR="003D676E">
          <w:rPr>
            <w:noProof/>
            <w:webHidden/>
          </w:rPr>
        </w:r>
        <w:r w:rsidR="003D676E">
          <w:rPr>
            <w:noProof/>
            <w:webHidden/>
          </w:rPr>
          <w:fldChar w:fldCharType="separate"/>
        </w:r>
        <w:r>
          <w:rPr>
            <w:noProof/>
            <w:webHidden/>
          </w:rPr>
          <w:t>5</w:t>
        </w:r>
        <w:r w:rsidR="003D676E">
          <w:rPr>
            <w:noProof/>
            <w:webHidden/>
          </w:rPr>
          <w:fldChar w:fldCharType="end"/>
        </w:r>
      </w:hyperlink>
    </w:p>
    <w:p w14:paraId="5C1860F9" w14:textId="01DD9D4C" w:rsidR="003D676E" w:rsidRDefault="00A56F49" w:rsidP="003D676E">
      <w:pPr>
        <w:pStyle w:val="Obsah1"/>
        <w:rPr>
          <w:rFonts w:eastAsiaTheme="minorEastAsia"/>
          <w:noProof/>
          <w:kern w:val="2"/>
          <w:sz w:val="22"/>
          <w:szCs w:val="22"/>
          <w:lang w:eastAsia="cs-CZ"/>
          <w14:ligatures w14:val="standardContextual"/>
        </w:rPr>
      </w:pPr>
      <w:hyperlink w:anchor="_Toc157153149" w:history="1">
        <w:r w:rsidR="003D676E" w:rsidRPr="00F36904">
          <w:rPr>
            <w:rStyle w:val="Hypertextovodkaz"/>
          </w:rPr>
          <w:t>6.</w:t>
        </w:r>
        <w:r w:rsidR="003D676E">
          <w:rPr>
            <w:rFonts w:eastAsiaTheme="minorEastAsia"/>
            <w:noProof/>
            <w:kern w:val="2"/>
            <w:sz w:val="22"/>
            <w:szCs w:val="22"/>
            <w:lang w:eastAsia="cs-CZ"/>
            <w14:ligatures w14:val="standardContextual"/>
          </w:rPr>
          <w:tab/>
        </w:r>
        <w:r w:rsidR="003D676E" w:rsidRPr="00F36904">
          <w:rPr>
            <w:rStyle w:val="Hypertextovodkaz"/>
          </w:rPr>
          <w:t>OBSAH ZADÁVACÍ DOKUMENTACE</w:t>
        </w:r>
        <w:r w:rsidR="003D676E">
          <w:rPr>
            <w:noProof/>
            <w:webHidden/>
          </w:rPr>
          <w:tab/>
        </w:r>
        <w:r w:rsidR="003D676E">
          <w:rPr>
            <w:noProof/>
            <w:webHidden/>
          </w:rPr>
          <w:fldChar w:fldCharType="begin"/>
        </w:r>
        <w:r w:rsidR="003D676E">
          <w:rPr>
            <w:noProof/>
            <w:webHidden/>
          </w:rPr>
          <w:instrText xml:space="preserve"> PAGEREF _Toc157153149 \h </w:instrText>
        </w:r>
        <w:r w:rsidR="003D676E">
          <w:rPr>
            <w:noProof/>
            <w:webHidden/>
          </w:rPr>
        </w:r>
        <w:r w:rsidR="003D676E">
          <w:rPr>
            <w:noProof/>
            <w:webHidden/>
          </w:rPr>
          <w:fldChar w:fldCharType="separate"/>
        </w:r>
        <w:r>
          <w:rPr>
            <w:noProof/>
            <w:webHidden/>
          </w:rPr>
          <w:t>5</w:t>
        </w:r>
        <w:r w:rsidR="003D676E">
          <w:rPr>
            <w:noProof/>
            <w:webHidden/>
          </w:rPr>
          <w:fldChar w:fldCharType="end"/>
        </w:r>
      </w:hyperlink>
    </w:p>
    <w:p w14:paraId="2E4D262C" w14:textId="2DE82602" w:rsidR="003D676E" w:rsidRDefault="00A56F49" w:rsidP="003D676E">
      <w:pPr>
        <w:pStyle w:val="Obsah1"/>
        <w:rPr>
          <w:rFonts w:eastAsiaTheme="minorEastAsia"/>
          <w:noProof/>
          <w:kern w:val="2"/>
          <w:sz w:val="22"/>
          <w:szCs w:val="22"/>
          <w:lang w:eastAsia="cs-CZ"/>
          <w14:ligatures w14:val="standardContextual"/>
        </w:rPr>
      </w:pPr>
      <w:hyperlink w:anchor="_Toc157153150" w:history="1">
        <w:r w:rsidR="003D676E" w:rsidRPr="00F36904">
          <w:rPr>
            <w:rStyle w:val="Hypertextovodkaz"/>
          </w:rPr>
          <w:t>7.</w:t>
        </w:r>
        <w:r w:rsidR="003D676E">
          <w:rPr>
            <w:rFonts w:eastAsiaTheme="minorEastAsia"/>
            <w:noProof/>
            <w:kern w:val="2"/>
            <w:sz w:val="22"/>
            <w:szCs w:val="22"/>
            <w:lang w:eastAsia="cs-CZ"/>
            <w14:ligatures w14:val="standardContextual"/>
          </w:rPr>
          <w:tab/>
        </w:r>
        <w:r w:rsidR="003D676E" w:rsidRPr="00F36904">
          <w:rPr>
            <w:rStyle w:val="Hypertextovodkaz"/>
          </w:rPr>
          <w:t>VYSVĚTLENÍ, ZMĚNY a DOPLNĚNÍ ZADÁVACÍ DOKUMENTACE</w:t>
        </w:r>
        <w:r w:rsidR="003D676E">
          <w:rPr>
            <w:noProof/>
            <w:webHidden/>
          </w:rPr>
          <w:tab/>
        </w:r>
        <w:r w:rsidR="003D676E">
          <w:rPr>
            <w:noProof/>
            <w:webHidden/>
          </w:rPr>
          <w:fldChar w:fldCharType="begin"/>
        </w:r>
        <w:r w:rsidR="003D676E">
          <w:rPr>
            <w:noProof/>
            <w:webHidden/>
          </w:rPr>
          <w:instrText xml:space="preserve"> PAGEREF _Toc157153150 \h </w:instrText>
        </w:r>
        <w:r w:rsidR="003D676E">
          <w:rPr>
            <w:noProof/>
            <w:webHidden/>
          </w:rPr>
        </w:r>
        <w:r w:rsidR="003D676E">
          <w:rPr>
            <w:noProof/>
            <w:webHidden/>
          </w:rPr>
          <w:fldChar w:fldCharType="separate"/>
        </w:r>
        <w:r>
          <w:rPr>
            <w:noProof/>
            <w:webHidden/>
          </w:rPr>
          <w:t>7</w:t>
        </w:r>
        <w:r w:rsidR="003D676E">
          <w:rPr>
            <w:noProof/>
            <w:webHidden/>
          </w:rPr>
          <w:fldChar w:fldCharType="end"/>
        </w:r>
      </w:hyperlink>
    </w:p>
    <w:p w14:paraId="60BE272C" w14:textId="3E06D373" w:rsidR="003D676E" w:rsidRDefault="00A56F49" w:rsidP="003D676E">
      <w:pPr>
        <w:pStyle w:val="Obsah1"/>
        <w:rPr>
          <w:rFonts w:eastAsiaTheme="minorEastAsia"/>
          <w:noProof/>
          <w:kern w:val="2"/>
          <w:sz w:val="22"/>
          <w:szCs w:val="22"/>
          <w:lang w:eastAsia="cs-CZ"/>
          <w14:ligatures w14:val="standardContextual"/>
        </w:rPr>
      </w:pPr>
      <w:hyperlink w:anchor="_Toc157153151" w:history="1">
        <w:r w:rsidR="003D676E" w:rsidRPr="00F36904">
          <w:rPr>
            <w:rStyle w:val="Hypertextovodkaz"/>
          </w:rPr>
          <w:t>8.</w:t>
        </w:r>
        <w:r w:rsidR="003D676E">
          <w:rPr>
            <w:rFonts w:eastAsiaTheme="minorEastAsia"/>
            <w:noProof/>
            <w:kern w:val="2"/>
            <w:sz w:val="22"/>
            <w:szCs w:val="22"/>
            <w:lang w:eastAsia="cs-CZ"/>
            <w14:ligatures w14:val="standardContextual"/>
          </w:rPr>
          <w:tab/>
        </w:r>
        <w:r w:rsidR="003D676E" w:rsidRPr="00F36904">
          <w:rPr>
            <w:rStyle w:val="Hypertextovodkaz"/>
          </w:rPr>
          <w:t>POŽADAVKY ZADAVATELE NA KVALIFIKACI</w:t>
        </w:r>
        <w:r w:rsidR="003D676E">
          <w:rPr>
            <w:noProof/>
            <w:webHidden/>
          </w:rPr>
          <w:tab/>
        </w:r>
        <w:r w:rsidR="003D676E">
          <w:rPr>
            <w:noProof/>
            <w:webHidden/>
          </w:rPr>
          <w:fldChar w:fldCharType="begin"/>
        </w:r>
        <w:r w:rsidR="003D676E">
          <w:rPr>
            <w:noProof/>
            <w:webHidden/>
          </w:rPr>
          <w:instrText xml:space="preserve"> PAGEREF _Toc157153151 \h </w:instrText>
        </w:r>
        <w:r w:rsidR="003D676E">
          <w:rPr>
            <w:noProof/>
            <w:webHidden/>
          </w:rPr>
        </w:r>
        <w:r w:rsidR="003D676E">
          <w:rPr>
            <w:noProof/>
            <w:webHidden/>
          </w:rPr>
          <w:fldChar w:fldCharType="separate"/>
        </w:r>
        <w:r>
          <w:rPr>
            <w:noProof/>
            <w:webHidden/>
          </w:rPr>
          <w:t>7</w:t>
        </w:r>
        <w:r w:rsidR="003D676E">
          <w:rPr>
            <w:noProof/>
            <w:webHidden/>
          </w:rPr>
          <w:fldChar w:fldCharType="end"/>
        </w:r>
      </w:hyperlink>
    </w:p>
    <w:p w14:paraId="79F19DDF" w14:textId="26EAC084" w:rsidR="003D676E" w:rsidRDefault="00A56F49" w:rsidP="003D676E">
      <w:pPr>
        <w:pStyle w:val="Obsah1"/>
        <w:rPr>
          <w:rFonts w:eastAsiaTheme="minorEastAsia"/>
          <w:noProof/>
          <w:kern w:val="2"/>
          <w:sz w:val="22"/>
          <w:szCs w:val="22"/>
          <w:lang w:eastAsia="cs-CZ"/>
          <w14:ligatures w14:val="standardContextual"/>
        </w:rPr>
      </w:pPr>
      <w:hyperlink w:anchor="_Toc157153152" w:history="1">
        <w:r w:rsidR="003D676E" w:rsidRPr="00F36904">
          <w:rPr>
            <w:rStyle w:val="Hypertextovodkaz"/>
          </w:rPr>
          <w:t>9.</w:t>
        </w:r>
        <w:r w:rsidR="003D676E">
          <w:rPr>
            <w:rFonts w:eastAsiaTheme="minorEastAsia"/>
            <w:noProof/>
            <w:kern w:val="2"/>
            <w:sz w:val="22"/>
            <w:szCs w:val="22"/>
            <w:lang w:eastAsia="cs-CZ"/>
            <w14:ligatures w14:val="standardContextual"/>
          </w:rPr>
          <w:tab/>
        </w:r>
        <w:r w:rsidR="003D676E" w:rsidRPr="00F36904">
          <w:rPr>
            <w:rStyle w:val="Hypertextovodkaz"/>
          </w:rPr>
          <w:t>DALŠÍ INFORMACE/DOKUMENTY PŘEDKLÁDANÉ DODAVATELEM v NABÍDCE</w:t>
        </w:r>
        <w:r w:rsidR="003D676E">
          <w:rPr>
            <w:noProof/>
            <w:webHidden/>
          </w:rPr>
          <w:tab/>
        </w:r>
        <w:r w:rsidR="003D676E">
          <w:rPr>
            <w:noProof/>
            <w:webHidden/>
          </w:rPr>
          <w:fldChar w:fldCharType="begin"/>
        </w:r>
        <w:r w:rsidR="003D676E">
          <w:rPr>
            <w:noProof/>
            <w:webHidden/>
          </w:rPr>
          <w:instrText xml:space="preserve"> PAGEREF _Toc157153152 \h </w:instrText>
        </w:r>
        <w:r w:rsidR="003D676E">
          <w:rPr>
            <w:noProof/>
            <w:webHidden/>
          </w:rPr>
        </w:r>
        <w:r w:rsidR="003D676E">
          <w:rPr>
            <w:noProof/>
            <w:webHidden/>
          </w:rPr>
          <w:fldChar w:fldCharType="separate"/>
        </w:r>
        <w:r>
          <w:rPr>
            <w:noProof/>
            <w:webHidden/>
          </w:rPr>
          <w:t>21</w:t>
        </w:r>
        <w:r w:rsidR="003D676E">
          <w:rPr>
            <w:noProof/>
            <w:webHidden/>
          </w:rPr>
          <w:fldChar w:fldCharType="end"/>
        </w:r>
      </w:hyperlink>
    </w:p>
    <w:p w14:paraId="45425A83" w14:textId="16E84459" w:rsidR="003D676E" w:rsidRDefault="00A56F49" w:rsidP="003D676E">
      <w:pPr>
        <w:pStyle w:val="Obsah1"/>
        <w:rPr>
          <w:rFonts w:eastAsiaTheme="minorEastAsia"/>
          <w:noProof/>
          <w:kern w:val="2"/>
          <w:sz w:val="22"/>
          <w:szCs w:val="22"/>
          <w:lang w:eastAsia="cs-CZ"/>
          <w14:ligatures w14:val="standardContextual"/>
        </w:rPr>
      </w:pPr>
      <w:hyperlink w:anchor="_Toc157153153" w:history="1">
        <w:r w:rsidR="003D676E" w:rsidRPr="00F36904">
          <w:rPr>
            <w:rStyle w:val="Hypertextovodkaz"/>
          </w:rPr>
          <w:t>10.</w:t>
        </w:r>
        <w:r w:rsidR="003D676E">
          <w:rPr>
            <w:rFonts w:eastAsiaTheme="minorEastAsia"/>
            <w:noProof/>
            <w:kern w:val="2"/>
            <w:sz w:val="22"/>
            <w:szCs w:val="22"/>
            <w:lang w:eastAsia="cs-CZ"/>
            <w14:ligatures w14:val="standardContextual"/>
          </w:rPr>
          <w:tab/>
        </w:r>
        <w:r w:rsidR="003D676E" w:rsidRPr="00F36904">
          <w:rPr>
            <w:rStyle w:val="Hypertextovodkaz"/>
          </w:rPr>
          <w:t>PROHLÍDKA MÍSTA PLNĚNÍ (STAVENIŠTĚ)</w:t>
        </w:r>
        <w:r w:rsidR="003D676E">
          <w:rPr>
            <w:noProof/>
            <w:webHidden/>
          </w:rPr>
          <w:tab/>
        </w:r>
        <w:r w:rsidR="003D676E">
          <w:rPr>
            <w:noProof/>
            <w:webHidden/>
          </w:rPr>
          <w:fldChar w:fldCharType="begin"/>
        </w:r>
        <w:r w:rsidR="003D676E">
          <w:rPr>
            <w:noProof/>
            <w:webHidden/>
          </w:rPr>
          <w:instrText xml:space="preserve"> PAGEREF _Toc157153153 \h </w:instrText>
        </w:r>
        <w:r w:rsidR="003D676E">
          <w:rPr>
            <w:noProof/>
            <w:webHidden/>
          </w:rPr>
        </w:r>
        <w:r w:rsidR="003D676E">
          <w:rPr>
            <w:noProof/>
            <w:webHidden/>
          </w:rPr>
          <w:fldChar w:fldCharType="separate"/>
        </w:r>
        <w:r>
          <w:rPr>
            <w:noProof/>
            <w:webHidden/>
          </w:rPr>
          <w:t>24</w:t>
        </w:r>
        <w:r w:rsidR="003D676E">
          <w:rPr>
            <w:noProof/>
            <w:webHidden/>
          </w:rPr>
          <w:fldChar w:fldCharType="end"/>
        </w:r>
      </w:hyperlink>
    </w:p>
    <w:p w14:paraId="1D974003" w14:textId="6792CD3E" w:rsidR="003D676E" w:rsidRDefault="00A56F49" w:rsidP="003D676E">
      <w:pPr>
        <w:pStyle w:val="Obsah1"/>
        <w:rPr>
          <w:rFonts w:eastAsiaTheme="minorEastAsia"/>
          <w:noProof/>
          <w:kern w:val="2"/>
          <w:sz w:val="22"/>
          <w:szCs w:val="22"/>
          <w:lang w:eastAsia="cs-CZ"/>
          <w14:ligatures w14:val="standardContextual"/>
        </w:rPr>
      </w:pPr>
      <w:hyperlink w:anchor="_Toc157153154" w:history="1">
        <w:r w:rsidR="003D676E" w:rsidRPr="00F36904">
          <w:rPr>
            <w:rStyle w:val="Hypertextovodkaz"/>
          </w:rPr>
          <w:t>11.</w:t>
        </w:r>
        <w:r w:rsidR="003D676E">
          <w:rPr>
            <w:rFonts w:eastAsiaTheme="minorEastAsia"/>
            <w:noProof/>
            <w:kern w:val="2"/>
            <w:sz w:val="22"/>
            <w:szCs w:val="22"/>
            <w:lang w:eastAsia="cs-CZ"/>
            <w14:ligatures w14:val="standardContextual"/>
          </w:rPr>
          <w:tab/>
        </w:r>
        <w:r w:rsidR="003D676E" w:rsidRPr="00F36904">
          <w:rPr>
            <w:rStyle w:val="Hypertextovodkaz"/>
          </w:rPr>
          <w:t>JAZYK NABÍDEK A KOMUNIKAČNÍ JAZYK</w:t>
        </w:r>
        <w:r w:rsidR="003D676E">
          <w:rPr>
            <w:noProof/>
            <w:webHidden/>
          </w:rPr>
          <w:tab/>
        </w:r>
        <w:r w:rsidR="003D676E">
          <w:rPr>
            <w:noProof/>
            <w:webHidden/>
          </w:rPr>
          <w:fldChar w:fldCharType="begin"/>
        </w:r>
        <w:r w:rsidR="003D676E">
          <w:rPr>
            <w:noProof/>
            <w:webHidden/>
          </w:rPr>
          <w:instrText xml:space="preserve"> PAGEREF _Toc157153154 \h </w:instrText>
        </w:r>
        <w:r w:rsidR="003D676E">
          <w:rPr>
            <w:noProof/>
            <w:webHidden/>
          </w:rPr>
        </w:r>
        <w:r w:rsidR="003D676E">
          <w:rPr>
            <w:noProof/>
            <w:webHidden/>
          </w:rPr>
          <w:fldChar w:fldCharType="separate"/>
        </w:r>
        <w:r>
          <w:rPr>
            <w:noProof/>
            <w:webHidden/>
          </w:rPr>
          <w:t>24</w:t>
        </w:r>
        <w:r w:rsidR="003D676E">
          <w:rPr>
            <w:noProof/>
            <w:webHidden/>
          </w:rPr>
          <w:fldChar w:fldCharType="end"/>
        </w:r>
      </w:hyperlink>
    </w:p>
    <w:p w14:paraId="4E7F868F" w14:textId="05D8A53C" w:rsidR="003D676E" w:rsidRDefault="00A56F49" w:rsidP="003D676E">
      <w:pPr>
        <w:pStyle w:val="Obsah1"/>
        <w:rPr>
          <w:rFonts w:eastAsiaTheme="minorEastAsia"/>
          <w:noProof/>
          <w:kern w:val="2"/>
          <w:sz w:val="22"/>
          <w:szCs w:val="22"/>
          <w:lang w:eastAsia="cs-CZ"/>
          <w14:ligatures w14:val="standardContextual"/>
        </w:rPr>
      </w:pPr>
      <w:hyperlink w:anchor="_Toc157153155" w:history="1">
        <w:r w:rsidR="003D676E" w:rsidRPr="00F36904">
          <w:rPr>
            <w:rStyle w:val="Hypertextovodkaz"/>
          </w:rPr>
          <w:t>12.</w:t>
        </w:r>
        <w:r w:rsidR="003D676E">
          <w:rPr>
            <w:rFonts w:eastAsiaTheme="minorEastAsia"/>
            <w:noProof/>
            <w:kern w:val="2"/>
            <w:sz w:val="22"/>
            <w:szCs w:val="22"/>
            <w:lang w:eastAsia="cs-CZ"/>
            <w14:ligatures w14:val="standardContextual"/>
          </w:rPr>
          <w:tab/>
        </w:r>
        <w:r w:rsidR="003D676E" w:rsidRPr="00F36904">
          <w:rPr>
            <w:rStyle w:val="Hypertextovodkaz"/>
          </w:rPr>
          <w:t>OBSAH a PODÁVÁNÍ NABÍDEK</w:t>
        </w:r>
        <w:r w:rsidR="003D676E">
          <w:rPr>
            <w:noProof/>
            <w:webHidden/>
          </w:rPr>
          <w:tab/>
        </w:r>
        <w:r w:rsidR="003D676E">
          <w:rPr>
            <w:noProof/>
            <w:webHidden/>
          </w:rPr>
          <w:fldChar w:fldCharType="begin"/>
        </w:r>
        <w:r w:rsidR="003D676E">
          <w:rPr>
            <w:noProof/>
            <w:webHidden/>
          </w:rPr>
          <w:instrText xml:space="preserve"> PAGEREF _Toc157153155 \h </w:instrText>
        </w:r>
        <w:r w:rsidR="003D676E">
          <w:rPr>
            <w:noProof/>
            <w:webHidden/>
          </w:rPr>
        </w:r>
        <w:r w:rsidR="003D676E">
          <w:rPr>
            <w:noProof/>
            <w:webHidden/>
          </w:rPr>
          <w:fldChar w:fldCharType="separate"/>
        </w:r>
        <w:r>
          <w:rPr>
            <w:noProof/>
            <w:webHidden/>
          </w:rPr>
          <w:t>24</w:t>
        </w:r>
        <w:r w:rsidR="003D676E">
          <w:rPr>
            <w:noProof/>
            <w:webHidden/>
          </w:rPr>
          <w:fldChar w:fldCharType="end"/>
        </w:r>
      </w:hyperlink>
    </w:p>
    <w:p w14:paraId="0D5A0321" w14:textId="63479CE0" w:rsidR="003D676E" w:rsidRDefault="00A56F49" w:rsidP="003D676E">
      <w:pPr>
        <w:pStyle w:val="Obsah1"/>
        <w:rPr>
          <w:rFonts w:eastAsiaTheme="minorEastAsia"/>
          <w:noProof/>
          <w:kern w:val="2"/>
          <w:sz w:val="22"/>
          <w:szCs w:val="22"/>
          <w:lang w:eastAsia="cs-CZ"/>
          <w14:ligatures w14:val="standardContextual"/>
        </w:rPr>
      </w:pPr>
      <w:hyperlink w:anchor="_Toc157153156" w:history="1">
        <w:r w:rsidR="003D676E" w:rsidRPr="00F36904">
          <w:rPr>
            <w:rStyle w:val="Hypertextovodkaz"/>
          </w:rPr>
          <w:t>13.</w:t>
        </w:r>
        <w:r w:rsidR="003D676E">
          <w:rPr>
            <w:rFonts w:eastAsiaTheme="minorEastAsia"/>
            <w:noProof/>
            <w:kern w:val="2"/>
            <w:sz w:val="22"/>
            <w:szCs w:val="22"/>
            <w:lang w:eastAsia="cs-CZ"/>
            <w14:ligatures w14:val="standardContextual"/>
          </w:rPr>
          <w:tab/>
        </w:r>
        <w:r w:rsidR="003D676E" w:rsidRPr="00F36904">
          <w:rPr>
            <w:rStyle w:val="Hypertextovodkaz"/>
          </w:rPr>
          <w:t>POŽADAVKY NA ZPRACOVÁNÍ NABÍDKOVÉ CENY</w:t>
        </w:r>
        <w:r w:rsidR="003D676E">
          <w:rPr>
            <w:noProof/>
            <w:webHidden/>
          </w:rPr>
          <w:tab/>
        </w:r>
        <w:r w:rsidR="003D676E">
          <w:rPr>
            <w:noProof/>
            <w:webHidden/>
          </w:rPr>
          <w:fldChar w:fldCharType="begin"/>
        </w:r>
        <w:r w:rsidR="003D676E">
          <w:rPr>
            <w:noProof/>
            <w:webHidden/>
          </w:rPr>
          <w:instrText xml:space="preserve"> PAGEREF _Toc157153156 \h </w:instrText>
        </w:r>
        <w:r w:rsidR="003D676E">
          <w:rPr>
            <w:noProof/>
            <w:webHidden/>
          </w:rPr>
        </w:r>
        <w:r w:rsidR="003D676E">
          <w:rPr>
            <w:noProof/>
            <w:webHidden/>
          </w:rPr>
          <w:fldChar w:fldCharType="separate"/>
        </w:r>
        <w:r>
          <w:rPr>
            <w:noProof/>
            <w:webHidden/>
          </w:rPr>
          <w:t>26</w:t>
        </w:r>
        <w:r w:rsidR="003D676E">
          <w:rPr>
            <w:noProof/>
            <w:webHidden/>
          </w:rPr>
          <w:fldChar w:fldCharType="end"/>
        </w:r>
      </w:hyperlink>
    </w:p>
    <w:p w14:paraId="5136C109" w14:textId="4D5A326A" w:rsidR="003D676E" w:rsidRDefault="00A56F49" w:rsidP="003D676E">
      <w:pPr>
        <w:pStyle w:val="Obsah1"/>
        <w:rPr>
          <w:rFonts w:eastAsiaTheme="minorEastAsia"/>
          <w:noProof/>
          <w:kern w:val="2"/>
          <w:sz w:val="22"/>
          <w:szCs w:val="22"/>
          <w:lang w:eastAsia="cs-CZ"/>
          <w14:ligatures w14:val="standardContextual"/>
        </w:rPr>
      </w:pPr>
      <w:hyperlink w:anchor="_Toc157153157" w:history="1">
        <w:r w:rsidR="003D676E" w:rsidRPr="00F36904">
          <w:rPr>
            <w:rStyle w:val="Hypertextovodkaz"/>
          </w:rPr>
          <w:t>14.</w:t>
        </w:r>
        <w:r w:rsidR="003D676E">
          <w:rPr>
            <w:rFonts w:eastAsiaTheme="minorEastAsia"/>
            <w:noProof/>
            <w:kern w:val="2"/>
            <w:sz w:val="22"/>
            <w:szCs w:val="22"/>
            <w:lang w:eastAsia="cs-CZ"/>
            <w14:ligatures w14:val="standardContextual"/>
          </w:rPr>
          <w:tab/>
        </w:r>
        <w:r w:rsidR="003D676E" w:rsidRPr="00F36904">
          <w:rPr>
            <w:rStyle w:val="Hypertextovodkaz"/>
          </w:rPr>
          <w:t>VARIANTY NABÍDKY, VÝHRADA ZMĚNY DODAVATELE</w:t>
        </w:r>
        <w:r w:rsidR="003D676E">
          <w:rPr>
            <w:noProof/>
            <w:webHidden/>
          </w:rPr>
          <w:tab/>
        </w:r>
        <w:r w:rsidR="003D676E">
          <w:rPr>
            <w:noProof/>
            <w:webHidden/>
          </w:rPr>
          <w:fldChar w:fldCharType="begin"/>
        </w:r>
        <w:r w:rsidR="003D676E">
          <w:rPr>
            <w:noProof/>
            <w:webHidden/>
          </w:rPr>
          <w:instrText xml:space="preserve"> PAGEREF _Toc157153157 \h </w:instrText>
        </w:r>
        <w:r w:rsidR="003D676E">
          <w:rPr>
            <w:noProof/>
            <w:webHidden/>
          </w:rPr>
        </w:r>
        <w:r w:rsidR="003D676E">
          <w:rPr>
            <w:noProof/>
            <w:webHidden/>
          </w:rPr>
          <w:fldChar w:fldCharType="separate"/>
        </w:r>
        <w:r>
          <w:rPr>
            <w:noProof/>
            <w:webHidden/>
          </w:rPr>
          <w:t>27</w:t>
        </w:r>
        <w:r w:rsidR="003D676E">
          <w:rPr>
            <w:noProof/>
            <w:webHidden/>
          </w:rPr>
          <w:fldChar w:fldCharType="end"/>
        </w:r>
      </w:hyperlink>
    </w:p>
    <w:p w14:paraId="3C984B04" w14:textId="184CDBB6" w:rsidR="003D676E" w:rsidRDefault="00A56F49" w:rsidP="003D676E">
      <w:pPr>
        <w:pStyle w:val="Obsah1"/>
        <w:rPr>
          <w:rFonts w:eastAsiaTheme="minorEastAsia"/>
          <w:noProof/>
          <w:kern w:val="2"/>
          <w:sz w:val="22"/>
          <w:szCs w:val="22"/>
          <w:lang w:eastAsia="cs-CZ"/>
          <w14:ligatures w14:val="standardContextual"/>
        </w:rPr>
      </w:pPr>
      <w:hyperlink w:anchor="_Toc157153158" w:history="1">
        <w:r w:rsidR="003D676E" w:rsidRPr="00F36904">
          <w:rPr>
            <w:rStyle w:val="Hypertextovodkaz"/>
          </w:rPr>
          <w:t>15.</w:t>
        </w:r>
        <w:r w:rsidR="003D676E">
          <w:rPr>
            <w:rFonts w:eastAsiaTheme="minorEastAsia"/>
            <w:noProof/>
            <w:kern w:val="2"/>
            <w:sz w:val="22"/>
            <w:szCs w:val="22"/>
            <w:lang w:eastAsia="cs-CZ"/>
            <w14:ligatures w14:val="standardContextual"/>
          </w:rPr>
          <w:tab/>
        </w:r>
        <w:r w:rsidR="003D676E" w:rsidRPr="00F36904">
          <w:rPr>
            <w:rStyle w:val="Hypertextovodkaz"/>
          </w:rPr>
          <w:t>OTEVÍRÁNÍ NABÍDEK</w:t>
        </w:r>
        <w:r w:rsidR="003D676E">
          <w:rPr>
            <w:noProof/>
            <w:webHidden/>
          </w:rPr>
          <w:tab/>
        </w:r>
        <w:r w:rsidR="003D676E">
          <w:rPr>
            <w:noProof/>
            <w:webHidden/>
          </w:rPr>
          <w:fldChar w:fldCharType="begin"/>
        </w:r>
        <w:r w:rsidR="003D676E">
          <w:rPr>
            <w:noProof/>
            <w:webHidden/>
          </w:rPr>
          <w:instrText xml:space="preserve"> PAGEREF _Toc157153158 \h </w:instrText>
        </w:r>
        <w:r w:rsidR="003D676E">
          <w:rPr>
            <w:noProof/>
            <w:webHidden/>
          </w:rPr>
        </w:r>
        <w:r w:rsidR="003D676E">
          <w:rPr>
            <w:noProof/>
            <w:webHidden/>
          </w:rPr>
          <w:fldChar w:fldCharType="separate"/>
        </w:r>
        <w:r>
          <w:rPr>
            <w:noProof/>
            <w:webHidden/>
          </w:rPr>
          <w:t>28</w:t>
        </w:r>
        <w:r w:rsidR="003D676E">
          <w:rPr>
            <w:noProof/>
            <w:webHidden/>
          </w:rPr>
          <w:fldChar w:fldCharType="end"/>
        </w:r>
      </w:hyperlink>
    </w:p>
    <w:p w14:paraId="39829CA3" w14:textId="5795885E" w:rsidR="003D676E" w:rsidRDefault="00A56F49" w:rsidP="003D676E">
      <w:pPr>
        <w:pStyle w:val="Obsah1"/>
        <w:rPr>
          <w:rFonts w:eastAsiaTheme="minorEastAsia"/>
          <w:noProof/>
          <w:kern w:val="2"/>
          <w:sz w:val="22"/>
          <w:szCs w:val="22"/>
          <w:lang w:eastAsia="cs-CZ"/>
          <w14:ligatures w14:val="standardContextual"/>
        </w:rPr>
      </w:pPr>
      <w:hyperlink w:anchor="_Toc157153159" w:history="1">
        <w:r w:rsidR="003D676E" w:rsidRPr="00F36904">
          <w:rPr>
            <w:rStyle w:val="Hypertextovodkaz"/>
          </w:rPr>
          <w:t>16.</w:t>
        </w:r>
        <w:r w:rsidR="003D676E">
          <w:rPr>
            <w:rFonts w:eastAsiaTheme="minorEastAsia"/>
            <w:noProof/>
            <w:kern w:val="2"/>
            <w:sz w:val="22"/>
            <w:szCs w:val="22"/>
            <w:lang w:eastAsia="cs-CZ"/>
            <w14:ligatures w14:val="standardContextual"/>
          </w:rPr>
          <w:tab/>
        </w:r>
        <w:r w:rsidR="003D676E" w:rsidRPr="00F36904">
          <w:rPr>
            <w:rStyle w:val="Hypertextovodkaz"/>
          </w:rPr>
          <w:t>POSOUZENÍ SPLNĚNÍ PODMÍNEK ÚČASTI</w:t>
        </w:r>
        <w:r w:rsidR="003D676E">
          <w:rPr>
            <w:noProof/>
            <w:webHidden/>
          </w:rPr>
          <w:tab/>
        </w:r>
        <w:r w:rsidR="003D676E">
          <w:rPr>
            <w:noProof/>
            <w:webHidden/>
          </w:rPr>
          <w:fldChar w:fldCharType="begin"/>
        </w:r>
        <w:r w:rsidR="003D676E">
          <w:rPr>
            <w:noProof/>
            <w:webHidden/>
          </w:rPr>
          <w:instrText xml:space="preserve"> PAGEREF _Toc157153159 \h </w:instrText>
        </w:r>
        <w:r w:rsidR="003D676E">
          <w:rPr>
            <w:noProof/>
            <w:webHidden/>
          </w:rPr>
        </w:r>
        <w:r w:rsidR="003D676E">
          <w:rPr>
            <w:noProof/>
            <w:webHidden/>
          </w:rPr>
          <w:fldChar w:fldCharType="separate"/>
        </w:r>
        <w:r>
          <w:rPr>
            <w:noProof/>
            <w:webHidden/>
          </w:rPr>
          <w:t>28</w:t>
        </w:r>
        <w:r w:rsidR="003D676E">
          <w:rPr>
            <w:noProof/>
            <w:webHidden/>
          </w:rPr>
          <w:fldChar w:fldCharType="end"/>
        </w:r>
      </w:hyperlink>
    </w:p>
    <w:p w14:paraId="62BFFE4B" w14:textId="1E9D6148" w:rsidR="003D676E" w:rsidRDefault="00A56F49" w:rsidP="003D676E">
      <w:pPr>
        <w:pStyle w:val="Obsah1"/>
        <w:rPr>
          <w:rFonts w:eastAsiaTheme="minorEastAsia"/>
          <w:noProof/>
          <w:kern w:val="2"/>
          <w:sz w:val="22"/>
          <w:szCs w:val="22"/>
          <w:lang w:eastAsia="cs-CZ"/>
          <w14:ligatures w14:val="standardContextual"/>
        </w:rPr>
      </w:pPr>
      <w:hyperlink w:anchor="_Toc157153160" w:history="1">
        <w:r w:rsidR="003D676E" w:rsidRPr="00F36904">
          <w:rPr>
            <w:rStyle w:val="Hypertextovodkaz"/>
          </w:rPr>
          <w:t>17.</w:t>
        </w:r>
        <w:r w:rsidR="003D676E">
          <w:rPr>
            <w:rFonts w:eastAsiaTheme="minorEastAsia"/>
            <w:noProof/>
            <w:kern w:val="2"/>
            <w:sz w:val="22"/>
            <w:szCs w:val="22"/>
            <w:lang w:eastAsia="cs-CZ"/>
            <w14:ligatures w14:val="standardContextual"/>
          </w:rPr>
          <w:tab/>
        </w:r>
        <w:r w:rsidR="003D676E" w:rsidRPr="00F36904">
          <w:rPr>
            <w:rStyle w:val="Hypertextovodkaz"/>
          </w:rPr>
          <w:t>HODNOCENÍ NABÍDEK</w:t>
        </w:r>
        <w:r w:rsidR="003D676E">
          <w:rPr>
            <w:noProof/>
            <w:webHidden/>
          </w:rPr>
          <w:tab/>
        </w:r>
        <w:r w:rsidR="003D676E">
          <w:rPr>
            <w:noProof/>
            <w:webHidden/>
          </w:rPr>
          <w:fldChar w:fldCharType="begin"/>
        </w:r>
        <w:r w:rsidR="003D676E">
          <w:rPr>
            <w:noProof/>
            <w:webHidden/>
          </w:rPr>
          <w:instrText xml:space="preserve"> PAGEREF _Toc157153160 \h </w:instrText>
        </w:r>
        <w:r w:rsidR="003D676E">
          <w:rPr>
            <w:noProof/>
            <w:webHidden/>
          </w:rPr>
        </w:r>
        <w:r w:rsidR="003D676E">
          <w:rPr>
            <w:noProof/>
            <w:webHidden/>
          </w:rPr>
          <w:fldChar w:fldCharType="separate"/>
        </w:r>
        <w:r>
          <w:rPr>
            <w:noProof/>
            <w:webHidden/>
          </w:rPr>
          <w:t>28</w:t>
        </w:r>
        <w:r w:rsidR="003D676E">
          <w:rPr>
            <w:noProof/>
            <w:webHidden/>
          </w:rPr>
          <w:fldChar w:fldCharType="end"/>
        </w:r>
      </w:hyperlink>
    </w:p>
    <w:p w14:paraId="7A8B5E5B" w14:textId="16A9C68C" w:rsidR="003D676E" w:rsidRDefault="00A56F49" w:rsidP="003D676E">
      <w:pPr>
        <w:pStyle w:val="Obsah1"/>
        <w:rPr>
          <w:rFonts w:eastAsiaTheme="minorEastAsia"/>
          <w:noProof/>
          <w:kern w:val="2"/>
          <w:sz w:val="22"/>
          <w:szCs w:val="22"/>
          <w:lang w:eastAsia="cs-CZ"/>
          <w14:ligatures w14:val="standardContextual"/>
        </w:rPr>
      </w:pPr>
      <w:hyperlink w:anchor="_Toc157153161" w:history="1">
        <w:r w:rsidR="003D676E" w:rsidRPr="00F36904">
          <w:rPr>
            <w:rStyle w:val="Hypertextovodkaz"/>
          </w:rPr>
          <w:t>18.</w:t>
        </w:r>
        <w:r w:rsidR="003D676E">
          <w:rPr>
            <w:rFonts w:eastAsiaTheme="minorEastAsia"/>
            <w:noProof/>
            <w:kern w:val="2"/>
            <w:sz w:val="22"/>
            <w:szCs w:val="22"/>
            <w:lang w:eastAsia="cs-CZ"/>
            <w14:ligatures w14:val="standardContextual"/>
          </w:rPr>
          <w:tab/>
        </w:r>
        <w:r w:rsidR="003D676E" w:rsidRPr="00F36904">
          <w:rPr>
            <w:rStyle w:val="Hypertextovodkaz"/>
          </w:rPr>
          <w:t>ZRUŠENÍ ZADÁVACÍHO ŘÍZENÍ</w:t>
        </w:r>
        <w:r w:rsidR="003D676E">
          <w:rPr>
            <w:noProof/>
            <w:webHidden/>
          </w:rPr>
          <w:tab/>
        </w:r>
        <w:r w:rsidR="003D676E">
          <w:rPr>
            <w:noProof/>
            <w:webHidden/>
          </w:rPr>
          <w:fldChar w:fldCharType="begin"/>
        </w:r>
        <w:r w:rsidR="003D676E">
          <w:rPr>
            <w:noProof/>
            <w:webHidden/>
          </w:rPr>
          <w:instrText xml:space="preserve"> PAGEREF _Toc157153161 \h </w:instrText>
        </w:r>
        <w:r w:rsidR="003D676E">
          <w:rPr>
            <w:noProof/>
            <w:webHidden/>
          </w:rPr>
        </w:r>
        <w:r w:rsidR="003D676E">
          <w:rPr>
            <w:noProof/>
            <w:webHidden/>
          </w:rPr>
          <w:fldChar w:fldCharType="separate"/>
        </w:r>
        <w:r>
          <w:rPr>
            <w:noProof/>
            <w:webHidden/>
          </w:rPr>
          <w:t>29</w:t>
        </w:r>
        <w:r w:rsidR="003D676E">
          <w:rPr>
            <w:noProof/>
            <w:webHidden/>
          </w:rPr>
          <w:fldChar w:fldCharType="end"/>
        </w:r>
      </w:hyperlink>
    </w:p>
    <w:p w14:paraId="4FAFC477" w14:textId="0A32B5F7" w:rsidR="003D676E" w:rsidRDefault="00A56F49" w:rsidP="003D676E">
      <w:pPr>
        <w:pStyle w:val="Obsah1"/>
        <w:rPr>
          <w:rFonts w:eastAsiaTheme="minorEastAsia"/>
          <w:noProof/>
          <w:kern w:val="2"/>
          <w:sz w:val="22"/>
          <w:szCs w:val="22"/>
          <w:lang w:eastAsia="cs-CZ"/>
          <w14:ligatures w14:val="standardContextual"/>
        </w:rPr>
      </w:pPr>
      <w:hyperlink w:anchor="_Toc157153162" w:history="1">
        <w:r w:rsidR="003D676E" w:rsidRPr="00F36904">
          <w:rPr>
            <w:rStyle w:val="Hypertextovodkaz"/>
          </w:rPr>
          <w:t>19.</w:t>
        </w:r>
        <w:r w:rsidR="003D676E">
          <w:rPr>
            <w:rFonts w:eastAsiaTheme="minorEastAsia"/>
            <w:noProof/>
            <w:kern w:val="2"/>
            <w:sz w:val="22"/>
            <w:szCs w:val="22"/>
            <w:lang w:eastAsia="cs-CZ"/>
            <w14:ligatures w14:val="standardContextual"/>
          </w:rPr>
          <w:tab/>
        </w:r>
        <w:r w:rsidR="003D676E" w:rsidRPr="00F36904">
          <w:rPr>
            <w:rStyle w:val="Hypertextovodkaz"/>
          </w:rPr>
          <w:t>UZAVŘENÍ SMLOUVY</w:t>
        </w:r>
        <w:r w:rsidR="003D676E">
          <w:rPr>
            <w:noProof/>
            <w:webHidden/>
          </w:rPr>
          <w:tab/>
        </w:r>
        <w:r w:rsidR="003D676E">
          <w:rPr>
            <w:noProof/>
            <w:webHidden/>
          </w:rPr>
          <w:fldChar w:fldCharType="begin"/>
        </w:r>
        <w:r w:rsidR="003D676E">
          <w:rPr>
            <w:noProof/>
            <w:webHidden/>
          </w:rPr>
          <w:instrText xml:space="preserve"> PAGEREF _Toc157153162 \h </w:instrText>
        </w:r>
        <w:r w:rsidR="003D676E">
          <w:rPr>
            <w:noProof/>
            <w:webHidden/>
          </w:rPr>
        </w:r>
        <w:r w:rsidR="003D676E">
          <w:rPr>
            <w:noProof/>
            <w:webHidden/>
          </w:rPr>
          <w:fldChar w:fldCharType="separate"/>
        </w:r>
        <w:r>
          <w:rPr>
            <w:noProof/>
            <w:webHidden/>
          </w:rPr>
          <w:t>29</w:t>
        </w:r>
        <w:r w:rsidR="003D676E">
          <w:rPr>
            <w:noProof/>
            <w:webHidden/>
          </w:rPr>
          <w:fldChar w:fldCharType="end"/>
        </w:r>
      </w:hyperlink>
    </w:p>
    <w:p w14:paraId="2510E95E" w14:textId="567B74AF" w:rsidR="003D676E" w:rsidRDefault="00A56F49" w:rsidP="003D676E">
      <w:pPr>
        <w:pStyle w:val="Obsah1"/>
        <w:rPr>
          <w:rFonts w:eastAsiaTheme="minorEastAsia"/>
          <w:noProof/>
          <w:kern w:val="2"/>
          <w:sz w:val="22"/>
          <w:szCs w:val="22"/>
          <w:lang w:eastAsia="cs-CZ"/>
          <w14:ligatures w14:val="standardContextual"/>
        </w:rPr>
      </w:pPr>
      <w:hyperlink w:anchor="_Toc157153163" w:history="1">
        <w:r w:rsidR="003D676E" w:rsidRPr="00F36904">
          <w:rPr>
            <w:rStyle w:val="Hypertextovodkaz"/>
          </w:rPr>
          <w:t>20.</w:t>
        </w:r>
        <w:r w:rsidR="003D676E">
          <w:rPr>
            <w:rFonts w:eastAsiaTheme="minorEastAsia"/>
            <w:noProof/>
            <w:kern w:val="2"/>
            <w:sz w:val="22"/>
            <w:szCs w:val="22"/>
            <w:lang w:eastAsia="cs-CZ"/>
            <w14:ligatures w14:val="standardContextual"/>
          </w:rPr>
          <w:tab/>
        </w:r>
        <w:r w:rsidR="003D676E" w:rsidRPr="00F36904">
          <w:rPr>
            <w:rStyle w:val="Hypertextovodkaz"/>
          </w:rPr>
          <w:t>OCHRANA INFORMACÍ</w:t>
        </w:r>
        <w:r w:rsidR="003D676E">
          <w:rPr>
            <w:noProof/>
            <w:webHidden/>
          </w:rPr>
          <w:tab/>
        </w:r>
        <w:r w:rsidR="003D676E">
          <w:rPr>
            <w:noProof/>
            <w:webHidden/>
          </w:rPr>
          <w:fldChar w:fldCharType="begin"/>
        </w:r>
        <w:r w:rsidR="003D676E">
          <w:rPr>
            <w:noProof/>
            <w:webHidden/>
          </w:rPr>
          <w:instrText xml:space="preserve"> PAGEREF _Toc157153163 \h </w:instrText>
        </w:r>
        <w:r w:rsidR="003D676E">
          <w:rPr>
            <w:noProof/>
            <w:webHidden/>
          </w:rPr>
        </w:r>
        <w:r w:rsidR="003D676E">
          <w:rPr>
            <w:noProof/>
            <w:webHidden/>
          </w:rPr>
          <w:fldChar w:fldCharType="separate"/>
        </w:r>
        <w:r>
          <w:rPr>
            <w:noProof/>
            <w:webHidden/>
          </w:rPr>
          <w:t>32</w:t>
        </w:r>
        <w:r w:rsidR="003D676E">
          <w:rPr>
            <w:noProof/>
            <w:webHidden/>
          </w:rPr>
          <w:fldChar w:fldCharType="end"/>
        </w:r>
      </w:hyperlink>
    </w:p>
    <w:p w14:paraId="14D5705A" w14:textId="59384101" w:rsidR="003D676E" w:rsidRDefault="00A56F49" w:rsidP="003D676E">
      <w:pPr>
        <w:pStyle w:val="Obsah1"/>
        <w:rPr>
          <w:rFonts w:eastAsiaTheme="minorEastAsia"/>
          <w:noProof/>
          <w:kern w:val="2"/>
          <w:sz w:val="22"/>
          <w:szCs w:val="22"/>
          <w:lang w:eastAsia="cs-CZ"/>
          <w14:ligatures w14:val="standardContextual"/>
        </w:rPr>
      </w:pPr>
      <w:hyperlink w:anchor="_Toc157153164" w:history="1">
        <w:r w:rsidR="003D676E" w:rsidRPr="00F36904">
          <w:rPr>
            <w:rStyle w:val="Hypertextovodkaz"/>
          </w:rPr>
          <w:t>21.</w:t>
        </w:r>
        <w:r w:rsidR="003D676E">
          <w:rPr>
            <w:rFonts w:eastAsiaTheme="minorEastAsia"/>
            <w:noProof/>
            <w:kern w:val="2"/>
            <w:sz w:val="22"/>
            <w:szCs w:val="22"/>
            <w:lang w:eastAsia="cs-CZ"/>
            <w14:ligatures w14:val="standardContextual"/>
          </w:rPr>
          <w:tab/>
        </w:r>
        <w:r w:rsidR="003D676E" w:rsidRPr="00F36904">
          <w:rPr>
            <w:rStyle w:val="Hypertextovodkaz"/>
          </w:rPr>
          <w:t>ZADÁVACÍ LHŮTA A JISTOTA ZA NABÍDKU</w:t>
        </w:r>
        <w:r w:rsidR="003D676E">
          <w:rPr>
            <w:noProof/>
            <w:webHidden/>
          </w:rPr>
          <w:tab/>
        </w:r>
        <w:r w:rsidR="003D676E">
          <w:rPr>
            <w:noProof/>
            <w:webHidden/>
          </w:rPr>
          <w:fldChar w:fldCharType="begin"/>
        </w:r>
        <w:r w:rsidR="003D676E">
          <w:rPr>
            <w:noProof/>
            <w:webHidden/>
          </w:rPr>
          <w:instrText xml:space="preserve"> PAGEREF _Toc157153164 \h </w:instrText>
        </w:r>
        <w:r w:rsidR="003D676E">
          <w:rPr>
            <w:noProof/>
            <w:webHidden/>
          </w:rPr>
        </w:r>
        <w:r w:rsidR="003D676E">
          <w:rPr>
            <w:noProof/>
            <w:webHidden/>
          </w:rPr>
          <w:fldChar w:fldCharType="separate"/>
        </w:r>
        <w:r>
          <w:rPr>
            <w:noProof/>
            <w:webHidden/>
          </w:rPr>
          <w:t>32</w:t>
        </w:r>
        <w:r w:rsidR="003D676E">
          <w:rPr>
            <w:noProof/>
            <w:webHidden/>
          </w:rPr>
          <w:fldChar w:fldCharType="end"/>
        </w:r>
      </w:hyperlink>
    </w:p>
    <w:p w14:paraId="5B43DED2" w14:textId="5E229EA0" w:rsidR="003D676E" w:rsidRDefault="00A56F49" w:rsidP="003D676E">
      <w:pPr>
        <w:pStyle w:val="Obsah1"/>
        <w:rPr>
          <w:rFonts w:eastAsiaTheme="minorEastAsia"/>
          <w:noProof/>
          <w:kern w:val="2"/>
          <w:sz w:val="22"/>
          <w:szCs w:val="22"/>
          <w:lang w:eastAsia="cs-CZ"/>
          <w14:ligatures w14:val="standardContextual"/>
        </w:rPr>
      </w:pPr>
      <w:hyperlink w:anchor="_Toc157153165" w:history="1">
        <w:r w:rsidR="003D676E" w:rsidRPr="00F36904">
          <w:rPr>
            <w:rStyle w:val="Hypertextovodkaz"/>
          </w:rPr>
          <w:t>22.</w:t>
        </w:r>
        <w:r w:rsidR="003D676E">
          <w:rPr>
            <w:rFonts w:eastAsiaTheme="minorEastAsia"/>
            <w:noProof/>
            <w:kern w:val="2"/>
            <w:sz w:val="22"/>
            <w:szCs w:val="22"/>
            <w:lang w:eastAsia="cs-CZ"/>
            <w14:ligatures w14:val="standardContextual"/>
          </w:rPr>
          <w:tab/>
        </w:r>
        <w:r w:rsidR="003D676E" w:rsidRPr="00F36904">
          <w:rPr>
            <w:rStyle w:val="Hypertextovodkaz"/>
          </w:rPr>
          <w:t>SOCIÁLNĚ A ENVIRONMENTÁLNĚ ODPOVĚDNÉ ZADÁVÁNÍ, INOVACE</w:t>
        </w:r>
        <w:r w:rsidR="003D676E">
          <w:rPr>
            <w:noProof/>
            <w:webHidden/>
          </w:rPr>
          <w:tab/>
        </w:r>
        <w:r w:rsidR="003D676E">
          <w:rPr>
            <w:noProof/>
            <w:webHidden/>
          </w:rPr>
          <w:fldChar w:fldCharType="begin"/>
        </w:r>
        <w:r w:rsidR="003D676E">
          <w:rPr>
            <w:noProof/>
            <w:webHidden/>
          </w:rPr>
          <w:instrText xml:space="preserve"> PAGEREF _Toc157153165 \h </w:instrText>
        </w:r>
        <w:r w:rsidR="003D676E">
          <w:rPr>
            <w:noProof/>
            <w:webHidden/>
          </w:rPr>
        </w:r>
        <w:r w:rsidR="003D676E">
          <w:rPr>
            <w:noProof/>
            <w:webHidden/>
          </w:rPr>
          <w:fldChar w:fldCharType="separate"/>
        </w:r>
        <w:r>
          <w:rPr>
            <w:noProof/>
            <w:webHidden/>
          </w:rPr>
          <w:t>33</w:t>
        </w:r>
        <w:r w:rsidR="003D676E">
          <w:rPr>
            <w:noProof/>
            <w:webHidden/>
          </w:rPr>
          <w:fldChar w:fldCharType="end"/>
        </w:r>
      </w:hyperlink>
    </w:p>
    <w:p w14:paraId="55C80BFC" w14:textId="712C431A" w:rsidR="003D676E" w:rsidRDefault="00A56F49" w:rsidP="003D676E">
      <w:pPr>
        <w:pStyle w:val="Obsah1"/>
        <w:rPr>
          <w:rFonts w:eastAsiaTheme="minorEastAsia"/>
          <w:noProof/>
          <w:kern w:val="2"/>
          <w:sz w:val="22"/>
          <w:szCs w:val="22"/>
          <w:lang w:eastAsia="cs-CZ"/>
          <w14:ligatures w14:val="standardContextual"/>
        </w:rPr>
      </w:pPr>
      <w:hyperlink w:anchor="_Toc157153166" w:history="1">
        <w:r w:rsidR="003D676E" w:rsidRPr="00F36904">
          <w:rPr>
            <w:rStyle w:val="Hypertextovodkaz"/>
          </w:rPr>
          <w:t>23.</w:t>
        </w:r>
        <w:r w:rsidR="003D676E">
          <w:rPr>
            <w:rFonts w:eastAsiaTheme="minorEastAsia"/>
            <w:noProof/>
            <w:kern w:val="2"/>
            <w:sz w:val="22"/>
            <w:szCs w:val="22"/>
            <w:lang w:eastAsia="cs-CZ"/>
            <w14:ligatures w14:val="standardContextual"/>
          </w:rPr>
          <w:tab/>
        </w:r>
        <w:r w:rsidR="003D676E" w:rsidRPr="00F36904">
          <w:rPr>
            <w:rStyle w:val="Hypertextovodkaz"/>
          </w:rPr>
          <w:t>Další zadávací podmínky v návaznosti na MEZINÁRODNÍ sankce, zákaz zadání veřejné zakázky</w:t>
        </w:r>
        <w:r w:rsidR="003D676E">
          <w:rPr>
            <w:noProof/>
            <w:webHidden/>
          </w:rPr>
          <w:tab/>
        </w:r>
        <w:r w:rsidR="003D676E">
          <w:rPr>
            <w:noProof/>
            <w:webHidden/>
          </w:rPr>
          <w:fldChar w:fldCharType="begin"/>
        </w:r>
        <w:r w:rsidR="003D676E">
          <w:rPr>
            <w:noProof/>
            <w:webHidden/>
          </w:rPr>
          <w:instrText xml:space="preserve"> PAGEREF _Toc157153166 \h </w:instrText>
        </w:r>
        <w:r w:rsidR="003D676E">
          <w:rPr>
            <w:noProof/>
            <w:webHidden/>
          </w:rPr>
        </w:r>
        <w:r w:rsidR="003D676E">
          <w:rPr>
            <w:noProof/>
            <w:webHidden/>
          </w:rPr>
          <w:fldChar w:fldCharType="separate"/>
        </w:r>
        <w:r>
          <w:rPr>
            <w:noProof/>
            <w:webHidden/>
          </w:rPr>
          <w:t>33</w:t>
        </w:r>
        <w:r w:rsidR="003D676E">
          <w:rPr>
            <w:noProof/>
            <w:webHidden/>
          </w:rPr>
          <w:fldChar w:fldCharType="end"/>
        </w:r>
      </w:hyperlink>
    </w:p>
    <w:p w14:paraId="76809963" w14:textId="4A173AA0" w:rsidR="003D676E" w:rsidRDefault="00A56F49" w:rsidP="003D676E">
      <w:pPr>
        <w:pStyle w:val="Obsah1"/>
        <w:rPr>
          <w:rFonts w:eastAsiaTheme="minorEastAsia"/>
          <w:noProof/>
          <w:kern w:val="2"/>
          <w:sz w:val="22"/>
          <w:szCs w:val="22"/>
          <w:lang w:eastAsia="cs-CZ"/>
          <w14:ligatures w14:val="standardContextual"/>
        </w:rPr>
      </w:pPr>
      <w:hyperlink w:anchor="_Toc157153167" w:history="1">
        <w:r w:rsidR="003D676E" w:rsidRPr="00F36904">
          <w:rPr>
            <w:rStyle w:val="Hypertextovodkaz"/>
          </w:rPr>
          <w:t>24.</w:t>
        </w:r>
        <w:r w:rsidR="003D676E">
          <w:rPr>
            <w:rFonts w:eastAsiaTheme="minorEastAsia"/>
            <w:noProof/>
            <w:kern w:val="2"/>
            <w:sz w:val="22"/>
            <w:szCs w:val="22"/>
            <w:lang w:eastAsia="cs-CZ"/>
            <w14:ligatures w14:val="standardContextual"/>
          </w:rPr>
          <w:tab/>
        </w:r>
        <w:r w:rsidR="003D676E" w:rsidRPr="00F36904">
          <w:rPr>
            <w:rStyle w:val="Hypertextovodkaz"/>
          </w:rPr>
          <w:t>PŘÍLOHY TĚCHTO POKYNŮ</w:t>
        </w:r>
        <w:r w:rsidR="003D676E">
          <w:rPr>
            <w:noProof/>
            <w:webHidden/>
          </w:rPr>
          <w:tab/>
        </w:r>
        <w:r w:rsidR="003D676E">
          <w:rPr>
            <w:noProof/>
            <w:webHidden/>
          </w:rPr>
          <w:fldChar w:fldCharType="begin"/>
        </w:r>
        <w:r w:rsidR="003D676E">
          <w:rPr>
            <w:noProof/>
            <w:webHidden/>
          </w:rPr>
          <w:instrText xml:space="preserve"> PAGEREF _Toc157153167 \h </w:instrText>
        </w:r>
        <w:r w:rsidR="003D676E">
          <w:rPr>
            <w:noProof/>
            <w:webHidden/>
          </w:rPr>
        </w:r>
        <w:r w:rsidR="003D676E">
          <w:rPr>
            <w:noProof/>
            <w:webHidden/>
          </w:rPr>
          <w:fldChar w:fldCharType="separate"/>
        </w:r>
        <w:r>
          <w:rPr>
            <w:noProof/>
            <w:webHidden/>
          </w:rPr>
          <w:t>35</w:t>
        </w:r>
        <w:r w:rsidR="003D676E">
          <w:rPr>
            <w:noProof/>
            <w:webHidden/>
          </w:rPr>
          <w:fldChar w:fldCharType="end"/>
        </w:r>
      </w:hyperlink>
    </w:p>
    <w:p w14:paraId="69BD5F09" w14:textId="62FD51F8"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7153144"/>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5" w:name="_Toc157153145"/>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47C2FDC6"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57153146"/>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6112B1F4" w14:textId="77777777" w:rsidR="005111A2" w:rsidRDefault="0035531B" w:rsidP="005111A2">
      <w:pPr>
        <w:pStyle w:val="Text1-1"/>
      </w:pPr>
      <w:r>
        <w:t xml:space="preserve">Kontaktní </w:t>
      </w:r>
      <w:r w:rsidR="005111A2">
        <w:t>osobou zadavatele pro zadávací řízení je: Ing. Jana Klomfarová</w:t>
      </w:r>
    </w:p>
    <w:p w14:paraId="2541BB27" w14:textId="77777777" w:rsidR="005111A2" w:rsidRDefault="005111A2" w:rsidP="005111A2">
      <w:pPr>
        <w:pStyle w:val="Textbezslovn"/>
        <w:spacing w:after="0"/>
      </w:pPr>
      <w:r>
        <w:t xml:space="preserve">telefon: </w:t>
      </w:r>
      <w:r>
        <w:tab/>
        <w:t>725 558 384</w:t>
      </w:r>
    </w:p>
    <w:p w14:paraId="65B59504" w14:textId="77777777" w:rsidR="005111A2" w:rsidRDefault="005111A2" w:rsidP="005111A2">
      <w:pPr>
        <w:pStyle w:val="Textbezslovn"/>
        <w:spacing w:after="0"/>
      </w:pPr>
      <w:r>
        <w:t xml:space="preserve">e-mail: </w:t>
      </w:r>
      <w:r>
        <w:tab/>
        <w:t>klomfarova@spravazeleznic.cz</w:t>
      </w:r>
    </w:p>
    <w:p w14:paraId="0222B018" w14:textId="77777777" w:rsidR="005111A2" w:rsidRDefault="005111A2" w:rsidP="005111A2">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7CA42F1" w14:textId="77777777" w:rsidR="005111A2" w:rsidRPr="00233EB0" w:rsidRDefault="005111A2" w:rsidP="005111A2">
      <w:pPr>
        <w:pStyle w:val="Zkladntext"/>
        <w:spacing w:after="0" w:line="240" w:lineRule="auto"/>
        <w:ind w:left="1418"/>
        <w:jc w:val="both"/>
      </w:pPr>
      <w:r>
        <w:tab/>
      </w:r>
      <w:r w:rsidRPr="00233EB0">
        <w:t>Stavební správa západ</w:t>
      </w:r>
    </w:p>
    <w:p w14:paraId="7576D032" w14:textId="77777777" w:rsidR="005111A2" w:rsidRPr="00233EB0" w:rsidRDefault="005111A2" w:rsidP="005111A2">
      <w:pPr>
        <w:pStyle w:val="Zkladntext"/>
        <w:spacing w:after="0" w:line="240" w:lineRule="auto"/>
        <w:ind w:left="1418"/>
        <w:jc w:val="both"/>
      </w:pPr>
      <w:r w:rsidRPr="00233EB0">
        <w:tab/>
      </w:r>
      <w:r>
        <w:t>Ke Štvanici 656/3</w:t>
      </w:r>
    </w:p>
    <w:p w14:paraId="6A1E0B48" w14:textId="77777777" w:rsidR="005111A2" w:rsidRDefault="005111A2" w:rsidP="005111A2">
      <w:pPr>
        <w:pStyle w:val="Textbezslovn"/>
      </w:pPr>
      <w:r w:rsidRPr="00233EB0">
        <w:tab/>
      </w:r>
      <w:r>
        <w:tab/>
        <w:t>186 00 Praha 8 - Karlín</w:t>
      </w:r>
    </w:p>
    <w:p w14:paraId="3AE7F6EB" w14:textId="1D884AD6" w:rsidR="0035531B" w:rsidRDefault="0035531B" w:rsidP="0035531B">
      <w:pPr>
        <w:pStyle w:val="Nadpis1-1"/>
      </w:pPr>
      <w:bookmarkStart w:id="7" w:name="_Toc157153147"/>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394E7F93" w14:textId="1FD9BAC8" w:rsidR="005111A2" w:rsidRPr="00F61E55" w:rsidRDefault="005111A2" w:rsidP="005111A2">
      <w:pPr>
        <w:pStyle w:val="Text2-1"/>
        <w:numPr>
          <w:ilvl w:val="0"/>
          <w:numId w:val="0"/>
        </w:numPr>
        <w:ind w:left="737"/>
      </w:pPr>
      <w:r>
        <w:t xml:space="preserve">Účelem </w:t>
      </w:r>
      <w:r w:rsidRPr="00F61E55">
        <w:t xml:space="preserve">díla je zhotovení souboru </w:t>
      </w:r>
      <w:bookmarkStart w:id="8" w:name="_Hlk126238396"/>
      <w:r w:rsidRPr="00F61E55">
        <w:t>staveb „</w:t>
      </w:r>
      <w:r w:rsidRPr="00537874">
        <w:rPr>
          <w:b/>
        </w:rPr>
        <w:t>Rekonstrukce ŽST Chrastava</w:t>
      </w:r>
      <w:r w:rsidRPr="00F61E55">
        <w:t xml:space="preserve">” </w:t>
      </w:r>
      <w:bookmarkEnd w:id="8"/>
      <w:r w:rsidRPr="00F61E55">
        <w:t>(dále</w:t>
      </w:r>
      <w:r>
        <w:t xml:space="preserve"> jen „</w:t>
      </w:r>
      <w:r w:rsidRPr="00822683">
        <w:rPr>
          <w:b/>
        </w:rPr>
        <w:t>Stavba</w:t>
      </w:r>
      <w:r>
        <w:rPr>
          <w:b/>
        </w:rPr>
        <w:t> </w:t>
      </w:r>
      <w:r w:rsidRPr="00822683">
        <w:rPr>
          <w:b/>
        </w:rPr>
        <w:t>1</w:t>
      </w:r>
      <w:r w:rsidRPr="00537874">
        <w:t>“</w:t>
      </w:r>
      <w:r w:rsidRPr="00F61E55">
        <w:t xml:space="preserve">) a </w:t>
      </w:r>
      <w:bookmarkStart w:id="9" w:name="_Hlk126238425"/>
      <w:r w:rsidRPr="00F61E55">
        <w:t>„</w:t>
      </w:r>
      <w:r w:rsidRPr="00537874">
        <w:rPr>
          <w:b/>
        </w:rPr>
        <w:t>Rekonstrukce ŽST Hrádek nad Nisou</w:t>
      </w:r>
      <w:r w:rsidRPr="00F61E55">
        <w:t xml:space="preserve">” </w:t>
      </w:r>
      <w:bookmarkEnd w:id="9"/>
      <w:r w:rsidRPr="00F61E55">
        <w:t>(dále</w:t>
      </w:r>
      <w:r>
        <w:t xml:space="preserve"> jen</w:t>
      </w:r>
      <w:r w:rsidRPr="00F61E55">
        <w:t xml:space="preserve"> </w:t>
      </w:r>
      <w:r>
        <w:t>„</w:t>
      </w:r>
      <w:r w:rsidRPr="00822683">
        <w:rPr>
          <w:b/>
        </w:rPr>
        <w:t>Stavba</w:t>
      </w:r>
      <w:r>
        <w:rPr>
          <w:b/>
        </w:rPr>
        <w:t> </w:t>
      </w:r>
      <w:r w:rsidRPr="00822683">
        <w:rPr>
          <w:b/>
        </w:rPr>
        <w:t>2</w:t>
      </w:r>
      <w:r w:rsidRPr="00537874">
        <w:t>“</w:t>
      </w:r>
      <w:r w:rsidRPr="00F61E55">
        <w:t>), jejímž hlavním cílem je zkrácení staničních provozních intervalů, zajištění plynulosti a bezpečnosti železniční dopravy a zvýšení komfortu cestování a zvýšení bezpečnosti cestujících zvýšením nástupní hrany nástupišť na 550 mm nad TK.</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7EFB312C" w14:textId="790A546F" w:rsidR="005111A2" w:rsidRPr="00F61E55" w:rsidRDefault="005111A2" w:rsidP="005111A2">
      <w:pPr>
        <w:pStyle w:val="Text2-1"/>
        <w:numPr>
          <w:ilvl w:val="0"/>
          <w:numId w:val="0"/>
        </w:numPr>
        <w:ind w:left="737"/>
      </w:pPr>
      <w:r w:rsidRPr="00F61E55">
        <w:t>Předmětem díla je zhotovení souboru staveb „</w:t>
      </w:r>
      <w:r w:rsidRPr="00537874">
        <w:rPr>
          <w:b/>
        </w:rPr>
        <w:t>Rekonstrukce ŽST Chrastava</w:t>
      </w:r>
      <w:r w:rsidRPr="00F61E55">
        <w:t>” (dále</w:t>
      </w:r>
      <w:r>
        <w:t xml:space="preserve"> jen „</w:t>
      </w:r>
      <w:r w:rsidRPr="00822683">
        <w:rPr>
          <w:b/>
        </w:rPr>
        <w:t>Stavba</w:t>
      </w:r>
      <w:r>
        <w:rPr>
          <w:b/>
        </w:rPr>
        <w:t> </w:t>
      </w:r>
      <w:r w:rsidRPr="00822683">
        <w:rPr>
          <w:b/>
        </w:rPr>
        <w:t>1</w:t>
      </w:r>
      <w:r w:rsidRPr="00537874">
        <w:t>“</w:t>
      </w:r>
      <w:r w:rsidRPr="00F61E55">
        <w:t>) a „</w:t>
      </w:r>
      <w:r w:rsidRPr="00537874">
        <w:rPr>
          <w:b/>
        </w:rPr>
        <w:t>Rekonstrukce ŽST Hrádek nad Nisou</w:t>
      </w:r>
      <w:r w:rsidRPr="00F61E55">
        <w:t>” (dále</w:t>
      </w:r>
      <w:r>
        <w:t xml:space="preserve"> jen</w:t>
      </w:r>
      <w:r w:rsidRPr="00F61E55">
        <w:t xml:space="preserve"> </w:t>
      </w:r>
      <w:r>
        <w:t>„</w:t>
      </w:r>
      <w:r w:rsidRPr="00822683">
        <w:rPr>
          <w:b/>
        </w:rPr>
        <w:t>Stavba</w:t>
      </w:r>
      <w:r>
        <w:rPr>
          <w:b/>
        </w:rPr>
        <w:t> </w:t>
      </w:r>
      <w:r w:rsidRPr="00822683">
        <w:rPr>
          <w:b/>
        </w:rPr>
        <w:t>2</w:t>
      </w:r>
      <w:r w:rsidRPr="00537874">
        <w:t>“</w:t>
      </w:r>
      <w:r w:rsidRPr="00F61E55">
        <w:t>), jejímž hlavním cílem je zkrácení staničních provozních intervalů, zajištění plynulosti a bezpečnosti železniční dopravy a zvýšení komfortu cestování a zvýšení bezpečnosti cestujících zvýšením nástupní hrany nástupišť na 550 mm nad TK.</w:t>
      </w:r>
    </w:p>
    <w:p w14:paraId="2F675022" w14:textId="77777777" w:rsidR="005111A2" w:rsidRPr="00F61E55" w:rsidRDefault="005111A2" w:rsidP="005111A2">
      <w:pPr>
        <w:pStyle w:val="Text2-1"/>
        <w:numPr>
          <w:ilvl w:val="0"/>
          <w:numId w:val="0"/>
        </w:numPr>
        <w:ind w:left="737"/>
      </w:pPr>
      <w:r w:rsidRPr="00F61E55">
        <w:t>Součástí díla je zajištění publicity (viz</w:t>
      </w:r>
      <w:r>
        <w:t xml:space="preserve"> </w:t>
      </w:r>
      <w:r w:rsidRPr="00F61E55">
        <w:t>4.19</w:t>
      </w:r>
      <w:r>
        <w:t xml:space="preserve"> </w:t>
      </w:r>
      <w:r w:rsidRPr="00F61E55">
        <w:t xml:space="preserve">ZTP). </w:t>
      </w:r>
    </w:p>
    <w:p w14:paraId="0C4E9509" w14:textId="77777777" w:rsidR="005111A2" w:rsidRPr="00F61E55" w:rsidRDefault="005111A2" w:rsidP="005111A2">
      <w:pPr>
        <w:pStyle w:val="Text2-1"/>
        <w:numPr>
          <w:ilvl w:val="0"/>
          <w:numId w:val="0"/>
        </w:numPr>
        <w:ind w:left="737"/>
      </w:pPr>
      <w:r w:rsidRPr="00F61E55">
        <w:t xml:space="preserve">Rozsah </w:t>
      </w:r>
      <w:r w:rsidRPr="009E6AF6">
        <w:t xml:space="preserve">jednotlivých staveb </w:t>
      </w:r>
      <w:r w:rsidRPr="00F61E55">
        <w:t>Díla</w:t>
      </w:r>
      <w:r>
        <w:t xml:space="preserve">, Stavby 1 a Stavby 2 </w:t>
      </w:r>
      <w:r w:rsidRPr="00F61E55">
        <w:t>je:</w:t>
      </w:r>
    </w:p>
    <w:p w14:paraId="3DB83F34" w14:textId="77777777" w:rsidR="005111A2" w:rsidRPr="00F61E55" w:rsidRDefault="005111A2" w:rsidP="005111A2">
      <w:pPr>
        <w:pStyle w:val="Odrka1-1"/>
        <w:numPr>
          <w:ilvl w:val="0"/>
          <w:numId w:val="43"/>
        </w:numPr>
        <w:spacing w:after="80"/>
      </w:pPr>
      <w:r w:rsidRPr="00F61E55">
        <w:t>zhotovení souboru staveb dle zadávací dokumentace,</w:t>
      </w:r>
    </w:p>
    <w:p w14:paraId="605D8BED" w14:textId="77777777" w:rsidR="005111A2" w:rsidRPr="00F61E55" w:rsidRDefault="005111A2" w:rsidP="005111A2">
      <w:pPr>
        <w:pStyle w:val="Odrka1-1"/>
        <w:numPr>
          <w:ilvl w:val="0"/>
          <w:numId w:val="43"/>
        </w:numPr>
        <w:spacing w:after="80"/>
      </w:pPr>
      <w:r w:rsidRPr="00F61E55">
        <w:t>zpracování Realizační dokumentace souboru staveb,</w:t>
      </w:r>
    </w:p>
    <w:p w14:paraId="7FCDDB5C" w14:textId="77777777" w:rsidR="005111A2" w:rsidRPr="00F61E55" w:rsidRDefault="005111A2" w:rsidP="005111A2">
      <w:pPr>
        <w:pStyle w:val="Odrka1-1"/>
        <w:numPr>
          <w:ilvl w:val="0"/>
          <w:numId w:val="43"/>
        </w:numPr>
        <w:spacing w:after="80"/>
      </w:pPr>
      <w:r w:rsidRPr="00F61E55">
        <w:lastRenderedPageBreak/>
        <w:t>vypracování Dokumentace skutečného provedení souboru staveb včetně geodetické části.</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77777777" w:rsidR="00006798" w:rsidRPr="005111A2" w:rsidRDefault="00006798" w:rsidP="00006798">
      <w:pPr>
        <w:pStyle w:val="Textbezslovn"/>
        <w:spacing w:after="0"/>
      </w:pPr>
      <w:r w:rsidRPr="005111A2">
        <w:t xml:space="preserve">CPV </w:t>
      </w:r>
      <w:proofErr w:type="gramStart"/>
      <w:r w:rsidRPr="005111A2">
        <w:t>kód  45221112</w:t>
      </w:r>
      <w:proofErr w:type="gramEnd"/>
      <w:r w:rsidRPr="005111A2">
        <w:t>-0 Výstavba železničních mostů</w:t>
      </w:r>
    </w:p>
    <w:p w14:paraId="657B132F" w14:textId="77777777" w:rsidR="00006798" w:rsidRPr="003A3C8E" w:rsidRDefault="00006798" w:rsidP="00006798">
      <w:pPr>
        <w:pStyle w:val="Textbezslovn"/>
        <w:spacing w:after="0"/>
      </w:pPr>
      <w:r w:rsidRPr="003A3C8E">
        <w:t xml:space="preserve">CPV </w:t>
      </w:r>
      <w:proofErr w:type="gramStart"/>
      <w:r w:rsidRPr="003A3C8E">
        <w:t>kód  45221200</w:t>
      </w:r>
      <w:proofErr w:type="gramEnd"/>
      <w:r w:rsidRPr="003A3C8E">
        <w:t>-4 Stavební úpravy tunelů, šachet a podchodů</w:t>
      </w:r>
    </w:p>
    <w:p w14:paraId="1F2987D1" w14:textId="77777777" w:rsidR="00D25DE4" w:rsidRPr="003A3C8E" w:rsidRDefault="00D25DE4" w:rsidP="00D25DE4">
      <w:pPr>
        <w:pStyle w:val="Textbezslovn"/>
        <w:spacing w:after="0"/>
      </w:pPr>
      <w:r w:rsidRPr="003A3C8E">
        <w:t xml:space="preserve">CPV </w:t>
      </w:r>
      <w:proofErr w:type="gramStart"/>
      <w:r w:rsidRPr="003A3C8E">
        <w:t>kód  45213321</w:t>
      </w:r>
      <w:proofErr w:type="gramEnd"/>
      <w:r w:rsidRPr="003A3C8E">
        <w:t>-9 Výstavba železničních nádraží</w:t>
      </w:r>
    </w:p>
    <w:p w14:paraId="5F03AFB9" w14:textId="77777777" w:rsidR="00140575" w:rsidRPr="003A3C8E" w:rsidRDefault="00006798" w:rsidP="00006798">
      <w:pPr>
        <w:pStyle w:val="Textbezslovn"/>
        <w:spacing w:after="0"/>
      </w:pPr>
      <w:r w:rsidRPr="003A3C8E">
        <w:t xml:space="preserve">CPV </w:t>
      </w:r>
      <w:proofErr w:type="gramStart"/>
      <w:r w:rsidRPr="003A3C8E">
        <w:t xml:space="preserve">kód </w:t>
      </w:r>
      <w:r w:rsidR="00D25DE4" w:rsidRPr="003A3C8E">
        <w:t xml:space="preserve"> </w:t>
      </w:r>
      <w:r w:rsidRPr="003A3C8E">
        <w:t>45231400</w:t>
      </w:r>
      <w:proofErr w:type="gramEnd"/>
      <w:r w:rsidRPr="003A3C8E">
        <w:t>-9 Stavební práce pro elektrické vedení</w:t>
      </w:r>
    </w:p>
    <w:p w14:paraId="2B79308A" w14:textId="77777777" w:rsidR="00140575" w:rsidRPr="003A3C8E" w:rsidRDefault="00140575" w:rsidP="00006798">
      <w:pPr>
        <w:pStyle w:val="Textbezslovn"/>
        <w:spacing w:after="0"/>
      </w:pPr>
      <w:r w:rsidRPr="003A3C8E">
        <w:t xml:space="preserve">CPV </w:t>
      </w:r>
      <w:proofErr w:type="gramStart"/>
      <w:r w:rsidRPr="003A3C8E">
        <w:t>kód  45234140</w:t>
      </w:r>
      <w:proofErr w:type="gramEnd"/>
      <w:r w:rsidRPr="003A3C8E">
        <w:t>-9 Výstavba úrovňových přejezdů</w:t>
      </w:r>
    </w:p>
    <w:p w14:paraId="6347D9EC" w14:textId="77777777" w:rsidR="00140575" w:rsidRDefault="00140575" w:rsidP="00006798">
      <w:pPr>
        <w:pStyle w:val="Textbezslovn"/>
        <w:spacing w:after="0"/>
      </w:pPr>
      <w:r w:rsidRPr="003A3C8E">
        <w:t xml:space="preserve">CPV </w:t>
      </w:r>
      <w:proofErr w:type="gramStart"/>
      <w:r w:rsidRPr="003A3C8E">
        <w:t>kód  45234115</w:t>
      </w:r>
      <w:proofErr w:type="gramEnd"/>
      <w:r w:rsidRPr="003A3C8E">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10" w:name="_Toc157153148"/>
      <w:r>
        <w:t>ZDROJE FINANCOVÁNÍ</w:t>
      </w:r>
      <w:r w:rsidR="00845C50">
        <w:t xml:space="preserve"> a </w:t>
      </w:r>
      <w:r>
        <w:t>PŘEDPOKLÁDANÁ HODNOTA VEŘEJNÉ ZAKÁZKY</w:t>
      </w:r>
      <w:bookmarkEnd w:id="10"/>
    </w:p>
    <w:p w14:paraId="01531CB8" w14:textId="51BEF2BF" w:rsidR="00BF4A13" w:rsidRDefault="00BF4A13" w:rsidP="0035531B">
      <w:pPr>
        <w:pStyle w:val="Text1-1"/>
      </w:pPr>
      <w:r>
        <w:t>U této zakázky se předpokládá, že bude financována z prostředků Státního fondu dopravní infrastruktury.</w:t>
      </w:r>
    </w:p>
    <w:p w14:paraId="7D26950A" w14:textId="560BC13E" w:rsidR="0035531B" w:rsidRDefault="0035531B" w:rsidP="003B2746">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711F42B9" w:rsidR="002D67BB" w:rsidRPr="006A3227" w:rsidRDefault="009D2EAA" w:rsidP="006A3227">
      <w:pPr>
        <w:pStyle w:val="Text1-1"/>
        <w:rPr>
          <w:b/>
        </w:rPr>
      </w:pPr>
      <w:r w:rsidRPr="006A3227">
        <w:rPr>
          <w:rStyle w:val="Tun9b"/>
        </w:rPr>
        <w:t xml:space="preserve">Zadavatel nesděluje výši předpokládané hodnoty </w:t>
      </w:r>
      <w:r w:rsidR="00387A23" w:rsidRPr="006A3227">
        <w:rPr>
          <w:rStyle w:val="Tun9b"/>
        </w:rPr>
        <w:t xml:space="preserve">veřejné </w:t>
      </w:r>
      <w:r w:rsidRPr="006A3227">
        <w:rPr>
          <w:rStyle w:val="Tun9b"/>
        </w:rPr>
        <w:t xml:space="preserve">zakázky. Zadavatel stanovuje závaznou zadávací podmínku tak, že částka </w:t>
      </w:r>
      <w:r w:rsidR="003D676E">
        <w:rPr>
          <w:rStyle w:val="Tun9b"/>
        </w:rPr>
        <w:t>1 274 572 712</w:t>
      </w:r>
      <w:r w:rsidRPr="006A3227">
        <w:rPr>
          <w:rStyle w:val="Tun9b"/>
        </w:rPr>
        <w:t xml:space="preserve">,- Kč je nejvyšší přípustnou </w:t>
      </w:r>
      <w:r w:rsidR="006C58B0" w:rsidRPr="006A3227">
        <w:rPr>
          <w:rStyle w:val="Tun9b"/>
        </w:rPr>
        <w:t xml:space="preserve">celkovou </w:t>
      </w:r>
      <w:r w:rsidRPr="006A3227">
        <w:rPr>
          <w:rStyle w:val="Tun9b"/>
        </w:rPr>
        <w:t>nabídkovou cenou (bez DPH), a to pod sankcí vyloučení z další účasti v zadávacím řízení.</w:t>
      </w:r>
    </w:p>
    <w:p w14:paraId="3767C8E6" w14:textId="77777777" w:rsidR="0035531B" w:rsidRDefault="0035531B" w:rsidP="006F6B09">
      <w:pPr>
        <w:pStyle w:val="Nadpis1-1"/>
      </w:pPr>
      <w:bookmarkStart w:id="11" w:name="_Toc157153149"/>
      <w:r>
        <w:t>OBSAH ZADÁVACÍ DOKUMENTACE</w:t>
      </w:r>
      <w:bookmarkEnd w:id="11"/>
      <w:r>
        <w:t xml:space="preserve"> </w:t>
      </w:r>
    </w:p>
    <w:p w14:paraId="2392DE32"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lastRenderedPageBreak/>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1C83DAA3" w:rsidR="002E722A" w:rsidRDefault="002E722A" w:rsidP="00DC4DDB">
      <w:pPr>
        <w:pStyle w:val="Textbezslovn"/>
        <w:tabs>
          <w:tab w:val="left" w:pos="1701"/>
        </w:tabs>
        <w:spacing w:after="0"/>
        <w:ind w:left="1701" w:hanging="964"/>
      </w:pPr>
      <w:r>
        <w:tab/>
        <w:t>Metodika pro akceleraci - 1. vydání, schváleno Ministerstvem dopravy dne 11. 2. 2020</w:t>
      </w:r>
    </w:p>
    <w:p w14:paraId="2C361740" w14:textId="77777777" w:rsidR="00EA69FC" w:rsidRDefault="00EA69FC" w:rsidP="00EA69FC">
      <w:pPr>
        <w:pStyle w:val="Textbezslovn"/>
        <w:tabs>
          <w:tab w:val="left" w:pos="1701"/>
        </w:tabs>
        <w:spacing w:after="0"/>
        <w:ind w:left="1701" w:hanging="964"/>
      </w:pPr>
      <w:r>
        <w:t>Část 10</w:t>
      </w:r>
      <w:r>
        <w:tab/>
        <w:t xml:space="preserve">Smlouva o poskytování součinnosti </w:t>
      </w:r>
    </w:p>
    <w:p w14:paraId="5CE8ECEB" w14:textId="77777777" w:rsidR="00462125" w:rsidRDefault="00462125" w:rsidP="00EA69FC">
      <w:pPr>
        <w:pStyle w:val="Textbezslovn"/>
        <w:tabs>
          <w:tab w:val="left" w:pos="1701"/>
        </w:tabs>
        <w:spacing w:after="0"/>
        <w:ind w:left="1701" w:hanging="964"/>
      </w:pP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D8F605F"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DA2C69C" w14:textId="77777777" w:rsidR="00E742A5" w:rsidRPr="00F61E55" w:rsidRDefault="00E742A5" w:rsidP="00E742A5">
      <w:pPr>
        <w:pStyle w:val="Odrka1-1"/>
      </w:pPr>
      <w:r w:rsidRPr="00F61E55">
        <w:t>Projektové dokumentace:</w:t>
      </w:r>
    </w:p>
    <w:p w14:paraId="78AA3E50" w14:textId="77777777" w:rsidR="00E742A5" w:rsidRPr="00F61E55" w:rsidRDefault="00E742A5" w:rsidP="00E742A5">
      <w:pPr>
        <w:pStyle w:val="Text2-1"/>
        <w:numPr>
          <w:ilvl w:val="0"/>
          <w:numId w:val="45"/>
        </w:numPr>
        <w:ind w:left="1560"/>
      </w:pPr>
      <w:r w:rsidRPr="00F61E55">
        <w:t>Stavba 1 – Rekonstrukce ŽST Chrastava, DSP+PDPS, zpracovatel AFRY</w:t>
      </w:r>
      <w:r>
        <w:t xml:space="preserve"> </w:t>
      </w:r>
      <w:r w:rsidRPr="00F61E55">
        <w:t>CZ</w:t>
      </w:r>
      <w:r>
        <w:t xml:space="preserve"> s.r.o., Magistrů 1275/13,140 00 Praha 4, IČO 4506605, Autorský kolektiv Společnost AFSAG Hrádek, Chrastava, 05/2022</w:t>
      </w:r>
    </w:p>
    <w:p w14:paraId="362575A1" w14:textId="3A69F5BC" w:rsidR="00E742A5" w:rsidRPr="00F61E55" w:rsidRDefault="00E742A5" w:rsidP="00E742A5">
      <w:pPr>
        <w:pStyle w:val="Text2-1"/>
        <w:numPr>
          <w:ilvl w:val="0"/>
          <w:numId w:val="45"/>
        </w:numPr>
        <w:ind w:left="1560"/>
      </w:pPr>
      <w:r w:rsidRPr="00F61E55">
        <w:t>Stavba 2 – Rekonstrukce ŽST Hrádek nad Nisou a Rekonstrukce ŽST Hrádek nad Nisou – ulice Nádražní</w:t>
      </w:r>
      <w:r>
        <w:t xml:space="preserve">, </w:t>
      </w:r>
      <w:r w:rsidRPr="00F61E55">
        <w:t xml:space="preserve">DSP+PDPS, zpracovatel </w:t>
      </w:r>
      <w:r>
        <w:t>AFRY CZ s.r.o., Magistrů 1275/13, 140 00 Praha 4</w:t>
      </w:r>
      <w:r w:rsidRPr="00F61E55">
        <w:t xml:space="preserve">, </w:t>
      </w:r>
      <w:r>
        <w:t>IČO 4506605, Autorský kolektiv Společnost AFSAG Hrádek, Chrastava</w:t>
      </w:r>
      <w:r w:rsidRPr="00F61E55">
        <w:t xml:space="preserve"> </w:t>
      </w:r>
      <w:r>
        <w:t>05</w:t>
      </w:r>
      <w:r w:rsidRPr="00F61E55">
        <w:t>/2022</w:t>
      </w:r>
    </w:p>
    <w:p w14:paraId="1A982B4C" w14:textId="77777777" w:rsidR="0035531B" w:rsidRDefault="0035531B" w:rsidP="0035531B">
      <w:pPr>
        <w:pStyle w:val="Text1-1"/>
      </w:pPr>
      <w:r>
        <w:lastRenderedPageBreak/>
        <w:t>Pro vyloučení pochybností zadavatel uvádí, že ohledně této veřejné zakázky nevedl předběžné tržní konzultace.</w:t>
      </w:r>
    </w:p>
    <w:p w14:paraId="2235BE95" w14:textId="77777777" w:rsidR="0035531B" w:rsidRDefault="0035531B" w:rsidP="00CC4380">
      <w:pPr>
        <w:pStyle w:val="Nadpis1-1"/>
      </w:pPr>
      <w:bookmarkStart w:id="12" w:name="_Toc157153150"/>
      <w:r>
        <w:t>VYSVĚTLENÍ, ZMĚNY</w:t>
      </w:r>
      <w:r w:rsidR="00845C50">
        <w:t xml:space="preserve"> a </w:t>
      </w:r>
      <w:r>
        <w:t>DOPLNĚNÍ ZADÁVACÍ DOKUMENTACE</w:t>
      </w:r>
      <w:bookmarkEnd w:id="12"/>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 xml:space="preserve">vysvětlení požádá </w:t>
      </w:r>
      <w:r w:rsidRPr="00E742A5">
        <w:rPr>
          <w:b/>
          <w:bCs/>
        </w:rPr>
        <w:t>nejpozději 8 pracovních dnů</w:t>
      </w:r>
      <w:r>
        <w:t xml:space="preserve"> před uplynutím lhůty pro podání nabídek, zadavatel odpoví včetně přesného znění žádosti bez identifikace tazatele nejpozději </w:t>
      </w:r>
      <w:r w:rsidRPr="00E742A5">
        <w:rPr>
          <w:b/>
          <w:bCs/>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3" w:name="_Toc157153151"/>
      <w:r>
        <w:t>POŽADAVKY ZADAVATELE NA KVALIFIKACI</w:t>
      </w:r>
      <w:bookmarkEnd w:id="13"/>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C906E57" w:rsidR="0035531B" w:rsidRDefault="0035531B" w:rsidP="00CC4380">
      <w:pPr>
        <w:pStyle w:val="Odrka1-2-"/>
      </w:pPr>
      <w:r>
        <w:t xml:space="preserve">potvrzení příslušné </w:t>
      </w:r>
      <w:r w:rsidR="003026E3">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07D85A3F" w14:textId="77777777" w:rsidR="0035531B" w:rsidRPr="00E742A5" w:rsidRDefault="0035531B" w:rsidP="00CC4380">
      <w:pPr>
        <w:pStyle w:val="Odrka1-2-"/>
      </w:pPr>
      <w:r w:rsidRPr="00E742A5">
        <w:t>Podnikání</w:t>
      </w:r>
      <w:r w:rsidR="00092CC9" w:rsidRPr="00E742A5">
        <w:t xml:space="preserve"> v </w:t>
      </w:r>
      <w:r w:rsidRPr="00E742A5">
        <w:t>oblasti nakládání</w:t>
      </w:r>
      <w:r w:rsidR="00845C50" w:rsidRPr="00E742A5">
        <w:t xml:space="preserve"> s </w:t>
      </w:r>
      <w:r w:rsidRPr="00E742A5">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4C2BB45F" w:rsidR="00B645ED" w:rsidRPr="007A6399" w:rsidRDefault="00B645ED" w:rsidP="009978AE">
      <w:pPr>
        <w:pStyle w:val="Odrka1-2-"/>
        <w:numPr>
          <w:ilvl w:val="0"/>
          <w:numId w:val="0"/>
        </w:numPr>
        <w:ind w:left="1531"/>
        <w:rPr>
          <w:b/>
        </w:rPr>
      </w:pPr>
      <w:r w:rsidRPr="007A6399">
        <w:rPr>
          <w:b/>
        </w:rPr>
        <w:t>b) dopravní stavby</w:t>
      </w:r>
      <w:r w:rsidR="00D71334">
        <w:rPr>
          <w:b/>
        </w:rPr>
        <w:t>,</w:t>
      </w:r>
    </w:p>
    <w:p w14:paraId="251543EE" w14:textId="5D2BEE6E" w:rsidR="00B645ED" w:rsidRPr="007A6399" w:rsidRDefault="00B645ED" w:rsidP="009978AE">
      <w:pPr>
        <w:pStyle w:val="Odrka1-2-"/>
        <w:numPr>
          <w:ilvl w:val="0"/>
          <w:numId w:val="0"/>
        </w:numPr>
        <w:ind w:left="1531"/>
        <w:rPr>
          <w:b/>
        </w:rPr>
      </w:pPr>
      <w:r w:rsidRPr="007A6399">
        <w:rPr>
          <w:b/>
        </w:rPr>
        <w:lastRenderedPageBreak/>
        <w:t>d) mosty a inženýrské konstrukce</w:t>
      </w:r>
      <w:r w:rsidR="00D71334">
        <w:rPr>
          <w:b/>
        </w:rPr>
        <w:t>,</w:t>
      </w:r>
    </w:p>
    <w:p w14:paraId="3BDBB71C" w14:textId="114C3757" w:rsidR="00B645ED" w:rsidRPr="00C70A3C" w:rsidRDefault="00B645ED" w:rsidP="009978AE">
      <w:pPr>
        <w:pStyle w:val="Odrka1-2-"/>
        <w:numPr>
          <w:ilvl w:val="0"/>
          <w:numId w:val="0"/>
        </w:numPr>
        <w:ind w:left="1531"/>
        <w:rPr>
          <w:b/>
        </w:rPr>
      </w:pPr>
      <w:r w:rsidRPr="00C70A3C">
        <w:rPr>
          <w:b/>
        </w:rPr>
        <w:t>e) technologická zařízení staveb</w:t>
      </w:r>
    </w:p>
    <w:p w14:paraId="4F04F2AB" w14:textId="76067194" w:rsidR="007A6399" w:rsidRPr="009978AE" w:rsidRDefault="004B40E7" w:rsidP="009978AE">
      <w:pPr>
        <w:pStyle w:val="Odrka1-2-"/>
        <w:numPr>
          <w:ilvl w:val="0"/>
          <w:numId w:val="0"/>
        </w:numPr>
        <w:ind w:left="1531"/>
        <w:rPr>
          <w:b/>
          <w:highlight w:val="green"/>
        </w:rPr>
      </w:pPr>
      <w:r>
        <w:t>zákona č. 360/1992 Sb., o výkonu povolání autorizovaných architektů a o výkonu povolání autorizovaných inženýrů a techniků činných ve výstavbě, ve znění pozdějších předpisů (dále jen „autorizační zákon“).</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4A544682"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0554E" w:rsidRPr="00A0554E">
        <w:rPr>
          <w:b/>
          <w:bCs/>
        </w:rPr>
        <w:t>700 mil.</w:t>
      </w:r>
      <w:r w:rsidR="00A0554E">
        <w:t xml:space="preserve"> </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9565C8D"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w:t>
      </w:r>
      <w:r w:rsidRPr="00EB23FE">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w:t>
      </w:r>
      <w:r>
        <w:lastRenderedPageBreak/>
        <w:t>pozdějších předpisů,</w:t>
      </w:r>
      <w:r w:rsidR="00845C50">
        <w:t xml:space="preserve"> </w:t>
      </w:r>
      <w:r w:rsidR="00014412">
        <w:t xml:space="preserve">poskytnutých dodavatelem </w:t>
      </w:r>
      <w:r>
        <w:t xml:space="preserve">za </w:t>
      </w:r>
      <w:r w:rsidRPr="00EB23FE">
        <w:t>posledních 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w:t>
      </w:r>
      <w:r w:rsidRPr="009B7BD3">
        <w:t xml:space="preserve">uvedených stavbách za posledních 5 let </w:t>
      </w:r>
      <w:r w:rsidR="008735B2" w:rsidRPr="009B7BD3">
        <w:t xml:space="preserve">před zahájením zadávacího řízení </w:t>
      </w:r>
      <w:r w:rsidRPr="009B7BD3">
        <w:t>činí</w:t>
      </w:r>
      <w:r w:rsidR="00092CC9" w:rsidRPr="009B7BD3">
        <w:t xml:space="preserve"> v </w:t>
      </w:r>
      <w:r w:rsidRPr="009B7BD3">
        <w:t>součtu,</w:t>
      </w:r>
      <w:r>
        <w:t xml:space="preserve"> včetně případných poddodávek, nejméně </w:t>
      </w:r>
      <w:r w:rsidR="00B460D2" w:rsidRPr="00B460D2">
        <w:rPr>
          <w:b/>
          <w:bCs/>
        </w:rPr>
        <w:t>7</w:t>
      </w:r>
      <w:r w:rsidR="00D11E34">
        <w:rPr>
          <w:b/>
          <w:bCs/>
        </w:rPr>
        <w:t>7</w:t>
      </w:r>
      <w:r w:rsidR="00B460D2" w:rsidRPr="00B460D2">
        <w:rPr>
          <w:b/>
          <w:bCs/>
        </w:rPr>
        <w:t>0 mil.</w:t>
      </w:r>
      <w:r w:rsidR="00B460D2">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29EFE36B" w:rsidR="0035531B" w:rsidRDefault="0035531B" w:rsidP="00930B79">
      <w:pPr>
        <w:pStyle w:val="Textbezslovn"/>
      </w:pPr>
      <w:r>
        <w:t>Zadavatel dále požaduje, aby dodavatel kromě informací uvedených</w:t>
      </w:r>
      <w:r w:rsidR="00092CC9">
        <w:t xml:space="preserve"> </w:t>
      </w:r>
      <w:r w:rsidR="000B3866">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0B3866">
        <w:t>posledních 5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3E27C3A3" w14:textId="77777777" w:rsidR="000B3866" w:rsidRPr="0013672A" w:rsidRDefault="000B3866" w:rsidP="000B3866">
      <w:pPr>
        <w:pStyle w:val="Odrka1-1"/>
      </w:pPr>
      <w:r w:rsidRPr="0013672A">
        <w:t xml:space="preserve">nejméně jedna nejvýznamnější stavební práce musí zahrnovat novostavbu, rekonstrukci nebo opravu </w:t>
      </w:r>
      <w:r w:rsidRPr="0013672A">
        <w:rPr>
          <w:rStyle w:val="Tun9b"/>
        </w:rPr>
        <w:t>železničního svršku</w:t>
      </w:r>
      <w:r w:rsidRPr="0013672A">
        <w:t xml:space="preserve"> v železniční stanici s minimálním počtem 4 ks výhyb</w:t>
      </w:r>
      <w:r w:rsidRPr="0013672A">
        <w:rPr>
          <w:strike/>
        </w:rPr>
        <w:t>e</w:t>
      </w:r>
      <w:r w:rsidRPr="0013672A">
        <w:t xml:space="preserve">k, a to v hodnotě nejméně </w:t>
      </w:r>
      <w:r>
        <w:rPr>
          <w:b/>
          <w:bCs/>
        </w:rPr>
        <w:t>24</w:t>
      </w:r>
      <w:r w:rsidRPr="0013672A">
        <w:rPr>
          <w:b/>
          <w:bCs/>
        </w:rPr>
        <w:t xml:space="preserve"> mil. Kč bez DPH</w:t>
      </w:r>
      <w:r w:rsidRPr="0013672A">
        <w:t xml:space="preserve"> (uvedená částka se vztahuje k hodnotě novostavby, rekonstrukce nebo opravy železničního svršku, nikoli k hodnotě nejvýznamnější stavební práce, tj. zakázky jako celku);</w:t>
      </w:r>
    </w:p>
    <w:p w14:paraId="7B7E1B0E" w14:textId="6AE3933F" w:rsidR="000B3866" w:rsidRDefault="000B3866" w:rsidP="00A0554E">
      <w:pPr>
        <w:pStyle w:val="Odrka1-1"/>
        <w:numPr>
          <w:ilvl w:val="0"/>
          <w:numId w:val="0"/>
        </w:numPr>
        <w:ind w:left="1077"/>
      </w:pPr>
      <w:r w:rsidRPr="0013672A">
        <w:t>přičemž zadavatel současně požaduje, aby hodnota této</w:t>
      </w:r>
      <w:r w:rsidRPr="0013672A">
        <w:rPr>
          <w:rStyle w:val="Tun9b"/>
        </w:rPr>
        <w:t xml:space="preserve"> nejvýznamnější stavební práce </w:t>
      </w:r>
      <w:r w:rsidRPr="0013672A">
        <w:t xml:space="preserve">(tj. hodnota zakázky jako celku, jež mimo jiné zahrnovala výše uvedené práce na železničním svršku), včetně případných poddodávek, dosahovala alespoň </w:t>
      </w:r>
      <w:proofErr w:type="gramStart"/>
      <w:r w:rsidR="00F5735A">
        <w:rPr>
          <w:b/>
          <w:bCs/>
        </w:rPr>
        <w:t>155</w:t>
      </w:r>
      <w:r>
        <w:t xml:space="preserve"> </w:t>
      </w:r>
      <w:r w:rsidR="00D71334">
        <w:rPr>
          <w:b/>
          <w:bCs/>
        </w:rPr>
        <w:t> </w:t>
      </w:r>
      <w:r w:rsidRPr="0013672A">
        <w:rPr>
          <w:b/>
          <w:bCs/>
        </w:rPr>
        <w:t>mil.</w:t>
      </w:r>
      <w:proofErr w:type="gramEnd"/>
      <w:r w:rsidRPr="0013672A">
        <w:rPr>
          <w:b/>
          <w:bCs/>
        </w:rPr>
        <w:t xml:space="preserve">   Kč bez DPH</w:t>
      </w:r>
      <w:r w:rsidRPr="0013672A">
        <w:t>;</w:t>
      </w:r>
    </w:p>
    <w:p w14:paraId="1F2FF14F" w14:textId="026CFDB7" w:rsidR="0077344A" w:rsidRPr="00693F1E" w:rsidRDefault="0077344A" w:rsidP="0077344A">
      <w:pPr>
        <w:pStyle w:val="Odrka1-1"/>
      </w:pPr>
      <w:r w:rsidRPr="00693F1E">
        <w:t xml:space="preserve">nejméně jedna nejvýznamnější stavební práce musí zahrnovat novostavbu, rekonstrukci nebo opravu </w:t>
      </w:r>
      <w:r w:rsidRPr="00693F1E">
        <w:rPr>
          <w:rStyle w:val="Tun9b"/>
        </w:rPr>
        <w:t>železničního mostu/mostů</w:t>
      </w:r>
      <w:r w:rsidRPr="00693F1E">
        <w:t xml:space="preserve"> s ocelovou nebo železobetonovou konstrukcí, průběžným kolejovým ložem, rozpětím min. 6 m nebo železniční</w:t>
      </w:r>
      <w:r w:rsidR="00BF38B7">
        <w:t>ho</w:t>
      </w:r>
      <w:r w:rsidRPr="00693F1E">
        <w:t xml:space="preserve"> podchod</w:t>
      </w:r>
      <w:r w:rsidR="00BF38B7">
        <w:t>u</w:t>
      </w:r>
      <w:r w:rsidR="003D676E">
        <w:t>/podchodů</w:t>
      </w:r>
      <w:r w:rsidRPr="00693F1E">
        <w:t xml:space="preserve"> pod ŽST s bezbariérovým přístupem</w:t>
      </w:r>
      <w:r w:rsidRPr="001F7521">
        <w:t>,</w:t>
      </w:r>
      <w:r w:rsidRPr="00693F1E">
        <w:rPr>
          <w:color w:val="FF0000"/>
        </w:rPr>
        <w:t xml:space="preserve"> </w:t>
      </w:r>
      <w:r w:rsidRPr="007543B0">
        <w:t>v souhrnné hodnotě</w:t>
      </w:r>
      <w:r w:rsidRPr="00693F1E">
        <w:t xml:space="preserve"> nejméně </w:t>
      </w:r>
      <w:r w:rsidRPr="00693F1E">
        <w:rPr>
          <w:b/>
          <w:bCs/>
        </w:rPr>
        <w:t>23 mil. Kč bez DPH</w:t>
      </w:r>
      <w:r w:rsidRPr="00693F1E">
        <w:t xml:space="preserve"> (uvedená částka se vztahuje k hodnotě novostavby, rekonstrukce nebo opravy železničního mostu/mostů</w:t>
      </w:r>
      <w:r w:rsidR="001F7521">
        <w:t xml:space="preserve"> </w:t>
      </w:r>
      <w:r w:rsidR="001F7521" w:rsidRPr="00693F1E">
        <w:t>s ocelovou nebo železobetonovou konstrukcí, průběžným kolejovým ložem, rozpětím min. 6 m nebo železniční</w:t>
      </w:r>
      <w:r w:rsidR="00BF38B7">
        <w:t>ho</w:t>
      </w:r>
      <w:r w:rsidR="001F7521" w:rsidRPr="00693F1E">
        <w:t xml:space="preserve"> podchod</w:t>
      </w:r>
      <w:r w:rsidR="00BF38B7">
        <w:t>u</w:t>
      </w:r>
      <w:r w:rsidR="003D676E">
        <w:t>/podchodů</w:t>
      </w:r>
      <w:r w:rsidR="001F7521" w:rsidRPr="00693F1E">
        <w:t xml:space="preserve"> pod ŽST s bezbariérovým přístupem</w:t>
      </w:r>
      <w:r w:rsidRPr="00693F1E">
        <w:t>, nikoli k hodnotě nejvýznamnější stavební práce, tj. zakázky jako celku)</w:t>
      </w:r>
      <w:r>
        <w:t>.</w:t>
      </w:r>
      <w:r w:rsidRPr="00693F1E">
        <w:t xml:space="preserve"> </w:t>
      </w:r>
    </w:p>
    <w:p w14:paraId="188248EA" w14:textId="32AF1490" w:rsidR="0035531B" w:rsidRPr="00A0554E" w:rsidRDefault="0035531B" w:rsidP="002C04EE">
      <w:pPr>
        <w:pStyle w:val="Odrka1-1"/>
      </w:pPr>
      <w:r w:rsidRPr="00A0554E">
        <w:t>nejméně jedna nejvýznamnější stavební práce musí zahrnovat novostavbu</w:t>
      </w:r>
      <w:r w:rsidR="00CB21C4" w:rsidRPr="00A0554E">
        <w:t>,</w:t>
      </w:r>
      <w:r w:rsidRPr="00A0554E">
        <w:t xml:space="preserve"> rekonstrukci </w:t>
      </w:r>
      <w:r w:rsidR="00CB21C4" w:rsidRPr="00A0554E">
        <w:t xml:space="preserve">nebo opravu </w:t>
      </w:r>
      <w:r w:rsidRPr="00A0554E">
        <w:t xml:space="preserve">zařízení staničního </w:t>
      </w:r>
      <w:r w:rsidRPr="00A0554E">
        <w:rPr>
          <w:rStyle w:val="Tun9b"/>
        </w:rPr>
        <w:t>zabezpečovacího zařízení</w:t>
      </w:r>
      <w:r w:rsidR="00092CC9" w:rsidRPr="00A0554E">
        <w:t xml:space="preserve"> v </w:t>
      </w:r>
      <w:r w:rsidRPr="00A0554E">
        <w:t xml:space="preserve">železniční </w:t>
      </w:r>
      <w:r w:rsidR="00A0554E" w:rsidRPr="00A0554E">
        <w:t>stanici s</w:t>
      </w:r>
      <w:r w:rsidR="00845C50" w:rsidRPr="00A0554E">
        <w:t> </w:t>
      </w:r>
      <w:r w:rsidRPr="00A0554E">
        <w:t xml:space="preserve">minimálním počtem </w:t>
      </w:r>
      <w:r w:rsidR="00C04269" w:rsidRPr="00A0554E">
        <w:rPr>
          <w:b/>
          <w:bCs/>
        </w:rPr>
        <w:t>4</w:t>
      </w:r>
      <w:r w:rsidRPr="00A0554E">
        <w:rPr>
          <w:b/>
          <w:bCs/>
        </w:rPr>
        <w:t xml:space="preserve"> ks výhybek</w:t>
      </w:r>
      <w:r w:rsidRPr="00A0554E">
        <w:t>,</w:t>
      </w:r>
      <w:r w:rsidR="00845C50" w:rsidRPr="00A0554E">
        <w:t xml:space="preserve"> a </w:t>
      </w:r>
      <w:r w:rsidRPr="00A0554E">
        <w:t>to</w:t>
      </w:r>
      <w:r w:rsidR="00092CC9" w:rsidRPr="00A0554E">
        <w:t xml:space="preserve"> v </w:t>
      </w:r>
      <w:r w:rsidRPr="00A0554E">
        <w:t xml:space="preserve">hodnotě nejméně </w:t>
      </w:r>
      <w:r w:rsidR="000F6248" w:rsidRPr="00A0554E">
        <w:rPr>
          <w:b/>
          <w:bCs/>
        </w:rPr>
        <w:t>27 mil.</w:t>
      </w:r>
      <w:r w:rsidRPr="00A0554E">
        <w:t xml:space="preserve"> </w:t>
      </w:r>
      <w:r w:rsidRPr="00A0554E">
        <w:rPr>
          <w:b/>
          <w:bCs/>
        </w:rPr>
        <w:t>Kč bez DPH</w:t>
      </w:r>
      <w:r w:rsidRPr="00A0554E">
        <w:t xml:space="preserve"> (uvedená částka se vztahuje</w:t>
      </w:r>
      <w:r w:rsidR="00BC6D2B" w:rsidRPr="00A0554E">
        <w:t xml:space="preserve"> k </w:t>
      </w:r>
      <w:r w:rsidRPr="00A0554E">
        <w:t>hodnotě novostavby</w:t>
      </w:r>
      <w:r w:rsidR="00F74C1E" w:rsidRPr="00A0554E">
        <w:t>,</w:t>
      </w:r>
      <w:r w:rsidRPr="00A0554E">
        <w:t xml:space="preserve"> rekonstrukce </w:t>
      </w:r>
      <w:r w:rsidR="00F74C1E" w:rsidRPr="00A0554E">
        <w:t xml:space="preserve">nebo opravy </w:t>
      </w:r>
      <w:r w:rsidRPr="00A0554E">
        <w:t>zabezpečovacího zařízení, nikoli</w:t>
      </w:r>
      <w:r w:rsidR="00BC6D2B" w:rsidRPr="00A0554E">
        <w:t xml:space="preserve"> k </w:t>
      </w:r>
      <w:r w:rsidRPr="00A0554E">
        <w:t>hodnotě nejvýznamnější stavební práce, tj. zakázky jako celku)</w:t>
      </w:r>
      <w:r w:rsidR="00462125">
        <w:t>.</w:t>
      </w:r>
    </w:p>
    <w:p w14:paraId="59340031" w14:textId="52AF00E3"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3026E3">
        <w:t xml:space="preserve"> či ve smyslu </w:t>
      </w:r>
      <w:r w:rsidR="003026E3" w:rsidRPr="00A4043B">
        <w:t>zákona č. 283/2021 Sb., stavební zákon, ve znění pozdějších předpisů</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w:t>
      </w:r>
      <w:r w:rsidRPr="00906665">
        <w:lastRenderedPageBreak/>
        <w:t>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73B81734"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0554E">
        <w:t>posledních 5 let. Pro odstranění pochybností zadavatel uvádí, že požadavek kritéria technické kvalifikace na doložení stavebních, resp. nejvýznamnějších stavebních prací lze splnit předložením seznamu</w:t>
      </w:r>
      <w:r w:rsidR="00845C50" w:rsidRPr="00A0554E">
        <w:t xml:space="preserve"> a </w:t>
      </w:r>
      <w:r w:rsidRPr="00A0554E">
        <w:t>osvědčení</w:t>
      </w:r>
      <w:r w:rsidR="00092CC9" w:rsidRPr="00A0554E">
        <w:t xml:space="preserve"> o </w:t>
      </w:r>
      <w:r w:rsidRPr="00A0554E">
        <w:t>řádném poskytnutí</w:t>
      </w:r>
      <w:r w:rsidR="00845C50" w:rsidRPr="00A0554E">
        <w:t xml:space="preserve"> a </w:t>
      </w:r>
      <w:r w:rsidRPr="00A0554E">
        <w:t>dokončení i pouze jediné stavební, resp. nejvýznamnější stavební práce, jejíž hodnota představuje alespoň požadovanou hodnotu stavebních prací</w:t>
      </w:r>
      <w:r w:rsidR="00092CC9" w:rsidRPr="00A0554E">
        <w:t xml:space="preserve"> v </w:t>
      </w:r>
      <w:r w:rsidRPr="00A0554E">
        <w:t>součtu za posledních 5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 xml:space="preserve">kontaktní údaje na osobu na </w:t>
      </w:r>
      <w:r>
        <w:lastRenderedPageBreak/>
        <w:t>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77344A">
        <w:t xml:space="preserve">posledních </w:t>
      </w:r>
      <w:r w:rsidRPr="0077344A">
        <w:t xml:space="preserve">5 let </w:t>
      </w:r>
      <w:r w:rsidR="00D31E39" w:rsidRPr="0077344A">
        <w:t xml:space="preserve">před zahájením zadávacího řízení </w:t>
      </w:r>
      <w:r w:rsidRPr="0077344A">
        <w:t xml:space="preserve">se </w:t>
      </w:r>
      <w:r w:rsidR="000A2EAF" w:rsidRPr="0077344A">
        <w:t xml:space="preserve">pro účely prokázání technické kvalifikace ohledně referenčních zakázek </w:t>
      </w:r>
      <w:r w:rsidRPr="0077344A">
        <w:t>považuje za splněnou, pokud byly stavební/nejvýznamnější stavební práce</w:t>
      </w:r>
      <w:r w:rsidR="00092CC9" w:rsidRPr="0077344A">
        <w:t xml:space="preserve"> </w:t>
      </w:r>
      <w:r w:rsidR="000A2EAF" w:rsidRPr="0077344A">
        <w:t xml:space="preserve">dokončeny </w:t>
      </w:r>
      <w:r w:rsidR="00092CC9" w:rsidRPr="0077344A">
        <w:t>v </w:t>
      </w:r>
      <w:r w:rsidRPr="0077344A">
        <w:t>průběhu této doby</w:t>
      </w:r>
      <w:r w:rsidR="000A2EAF" w:rsidRPr="0077344A">
        <w:t xml:space="preserve"> nebo kdykoli po zahájení zadávacího řízení, včetně doby po podání nabídek, a to nejpozději do doby zadavatelem případně stanovené k předložení údajů a dokladů dle § 46 ZZVZ. Pro </w:t>
      </w:r>
      <w:r w:rsidRPr="0077344A">
        <w:t xml:space="preserve">prokázání kvalifikace postačuje, aby byl požadovaný finanční objem </w:t>
      </w:r>
      <w:r w:rsidR="00293D72" w:rsidRPr="0077344A">
        <w:t xml:space="preserve">či jiné minimální hodnoty </w:t>
      </w:r>
      <w:r w:rsidRPr="0077344A">
        <w:t>stavebních/nejvýznamnějších stavebních prací dosažen</w:t>
      </w:r>
      <w:r w:rsidR="00293D72" w:rsidRPr="0077344A">
        <w:t>y</w:t>
      </w:r>
      <w:r w:rsidRPr="0077344A">
        <w:t xml:space="preserve"> za celou dobu realizace stavebních/nejvýznamnějších stavebních prací, nikoliv pouze</w:t>
      </w:r>
      <w:r w:rsidR="00092CC9" w:rsidRPr="0077344A">
        <w:t xml:space="preserve"> v </w:t>
      </w:r>
      <w:r w:rsidRPr="0077344A">
        <w:t>průběhu posledních 5 let před zahájením zadávacího řízení. Dokončením se</w:t>
      </w:r>
      <w:r w:rsidR="00BB4AF2" w:rsidRPr="0077344A">
        <w:t xml:space="preserve"> u </w:t>
      </w:r>
      <w:r w:rsidR="007B1E1B" w:rsidRPr="0077344A">
        <w:t>stavebních/</w:t>
      </w:r>
      <w:r w:rsidRPr="0077344A">
        <w:t xml:space="preserve">nejvýznamnějších stavebních prací </w:t>
      </w:r>
      <w:r w:rsidR="002A30C7" w:rsidRPr="0077344A">
        <w:t xml:space="preserve">pro účely prokázání technické kvalifikace v tomto zadávacím řízení </w:t>
      </w:r>
      <w:r w:rsidRPr="0077344A">
        <w:t xml:space="preserve">rozumí </w:t>
      </w:r>
      <w:r w:rsidR="007B1E1B" w:rsidRPr="0077344A">
        <w:t xml:space="preserve">i </w:t>
      </w:r>
      <w:r w:rsidRPr="0077344A">
        <w:t>uvedení díla</w:t>
      </w:r>
      <w:r w:rsidR="007B1E1B" w:rsidRPr="0077344A">
        <w:t>, resp. poslední části</w:t>
      </w:r>
      <w:r w:rsidR="00227BC8" w:rsidRPr="0077344A">
        <w:t xml:space="preserve"> stavební práce</w:t>
      </w:r>
      <w:r w:rsidRPr="0077344A">
        <w:t>, alespoň do zkušebního provozu. Zadavatel nicméně za dílo dokončené</w:t>
      </w:r>
      <w:r w:rsidR="00092CC9" w:rsidRPr="0077344A">
        <w:t xml:space="preserve"> v </w:t>
      </w:r>
      <w:r w:rsidRPr="0077344A">
        <w:t>období posledních 5 let bude považovat též dílo, které</w:t>
      </w:r>
      <w:r w:rsidR="00092CC9" w:rsidRPr="0077344A">
        <w:t xml:space="preserve"> v </w:t>
      </w:r>
      <w:r w:rsidRPr="0077344A">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 xml:space="preserve">rámci společnosti/sdružení či seskupení dodavatelů provedl požadovaný objem, resp. splnil minimální hodnoty nejvýznamnějších </w:t>
      </w:r>
      <w:r>
        <w:lastRenderedPageBreak/>
        <w:t>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87FCC10"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w:t>
      </w:r>
      <w:r w:rsidRPr="00462125">
        <w:t>ci</w:t>
      </w:r>
      <w:r w:rsidR="00845C50" w:rsidRPr="00462125">
        <w:t xml:space="preserve"> </w:t>
      </w:r>
      <w:r>
        <w:t>může být za účelem splnění kvalifikace doložena pouze jedna fyzická osoba. Jednotlivé požadavky na kvalifikační kritéria</w:t>
      </w:r>
      <w:r w:rsidR="00BB4AF2">
        <w:t xml:space="preserve"> u </w:t>
      </w:r>
      <w:r>
        <w:t xml:space="preserve">každé jednotlivé funkce </w:t>
      </w:r>
      <w:r w:rsidRPr="00462125">
        <w:t>tedy</w:t>
      </w:r>
      <w:r w:rsidR="00845C50" w:rsidRPr="00462125">
        <w:t xml:space="preserve"> </w:t>
      </w:r>
      <w:r w:rsidRPr="00462125">
        <w:t>ne</w:t>
      </w:r>
      <w:r>
        <w:t>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5F7229">
        <w:t>S</w:t>
      </w:r>
      <w:r w:rsidR="0086714F">
        <w:t xml:space="preserve">mlouvě </w:t>
      </w:r>
      <w:r w:rsidR="005F7229">
        <w:t xml:space="preserve">o dílo </w:t>
      </w:r>
      <w:r w:rsidR="0086714F" w:rsidRPr="00462125">
        <w:t>uvedena, na příslušné</w:t>
      </w:r>
      <w:r w:rsidR="0086714F">
        <w:t xml:space="preserve">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77344A">
        <w:rPr>
          <w:rStyle w:val="Tun9b"/>
        </w:rPr>
        <w:t>železniční svršek</w:t>
      </w:r>
      <w: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6F8F2346" w14:textId="0E688622" w:rsidR="0077344A" w:rsidRPr="00D03285" w:rsidRDefault="00462125" w:rsidP="00462125">
      <w:pPr>
        <w:pStyle w:val="Odstavec1-1a"/>
        <w:numPr>
          <w:ilvl w:val="0"/>
          <w:numId w:val="0"/>
        </w:numPr>
        <w:ind w:left="737"/>
        <w:rPr>
          <w:rStyle w:val="Tun9b"/>
          <w:b w:val="0"/>
          <w:sz w:val="14"/>
        </w:rPr>
      </w:pPr>
      <w:r>
        <w:rPr>
          <w:rStyle w:val="Tun9b"/>
        </w:rPr>
        <w:t xml:space="preserve">a) </w:t>
      </w:r>
      <w:r w:rsidR="0077344A" w:rsidRPr="00D03285">
        <w:rPr>
          <w:rStyle w:val="Tun9b"/>
        </w:rPr>
        <w:t>stavbyvedoucí</w:t>
      </w:r>
    </w:p>
    <w:p w14:paraId="614917DC" w14:textId="77777777" w:rsidR="0077344A" w:rsidRPr="00D03285" w:rsidRDefault="0077344A" w:rsidP="0077344A">
      <w:pPr>
        <w:pStyle w:val="Odrka1-2-"/>
      </w:pPr>
      <w:r w:rsidRPr="00D03285">
        <w:t xml:space="preserve">nejméně 5 let praxe v řízení provádění staveb železničních drah; </w:t>
      </w:r>
    </w:p>
    <w:p w14:paraId="4C252E42" w14:textId="7DB05792" w:rsidR="0077344A" w:rsidRPr="00D03285" w:rsidRDefault="0077344A" w:rsidP="0077344A">
      <w:pPr>
        <w:pStyle w:val="Odrka1-2-"/>
      </w:pPr>
      <w:r w:rsidRPr="00D03285">
        <w:t xml:space="preserve">zkušenost s řízením realizace alespoň jedné zakázky – stavby železničních drah v hodnotě </w:t>
      </w:r>
      <w:r w:rsidRPr="003215CA">
        <w:rPr>
          <w:b/>
          <w:bCs/>
        </w:rPr>
        <w:t xml:space="preserve">nejméně </w:t>
      </w:r>
      <w:r w:rsidR="009B1252">
        <w:rPr>
          <w:b/>
          <w:bCs/>
        </w:rPr>
        <w:t>155</w:t>
      </w:r>
      <w:r w:rsidRPr="003215CA">
        <w:rPr>
          <w:b/>
          <w:bCs/>
        </w:rPr>
        <w:t xml:space="preserve"> mil. Kč bez</w:t>
      </w:r>
      <w:r w:rsidRPr="00D03285">
        <w:rPr>
          <w:b/>
          <w:bCs/>
        </w:rPr>
        <w:t xml:space="preserve"> DPH</w:t>
      </w:r>
      <w:r w:rsidRPr="00D03285">
        <w:t>, jež zahrnovala novostavbu, rekonstrukci nebo opravu železniční stanice, jejímž předmětem byla novostavba</w:t>
      </w:r>
      <w:r w:rsidR="00BF38B7">
        <w:t>,</w:t>
      </w:r>
      <w:r w:rsidRPr="00D03285">
        <w:t xml:space="preserve"> rekonstrukce </w:t>
      </w:r>
      <w:r w:rsidR="00BF38B7">
        <w:t xml:space="preserve">nebo oprava </w:t>
      </w:r>
      <w:r w:rsidRPr="00D03285">
        <w:t>železničního svršku, spodku</w:t>
      </w:r>
      <w:r w:rsidR="00192A0F">
        <w:t xml:space="preserve"> </w:t>
      </w:r>
      <w:r w:rsidRPr="00D03285">
        <w:t>a zabezpečovacího zařízení, a to v posledních 10 letech před zahájením zadávacího řízení;</w:t>
      </w:r>
    </w:p>
    <w:p w14:paraId="496C83ED" w14:textId="77777777" w:rsidR="0077344A" w:rsidRPr="00D03285" w:rsidRDefault="0077344A" w:rsidP="0077344A">
      <w:pPr>
        <w:pStyle w:val="Odrka1-2-"/>
      </w:pPr>
      <w:r w:rsidRPr="00D03285">
        <w:lastRenderedPageBreak/>
        <w:t xml:space="preserve">musí předložit doklad o autorizaci v rozsahu dle § 5 odst. 3 písm. </w:t>
      </w:r>
      <w:r w:rsidRPr="00D03285">
        <w:rPr>
          <w:b/>
          <w:bCs/>
        </w:rPr>
        <w:t>b)</w:t>
      </w:r>
      <w:r w:rsidRPr="00D03285">
        <w:t xml:space="preserve"> autorizačního zákona, tedy v oboru </w:t>
      </w:r>
      <w:r w:rsidRPr="00D03285">
        <w:rPr>
          <w:b/>
          <w:bCs/>
        </w:rPr>
        <w:t>dopravní stavby</w:t>
      </w:r>
      <w:r w:rsidRPr="00D03285">
        <w:t>;</w:t>
      </w:r>
    </w:p>
    <w:p w14:paraId="630DEECA" w14:textId="7062E3C2" w:rsidR="0077344A" w:rsidRPr="00AB43C2" w:rsidRDefault="00462125" w:rsidP="00462125">
      <w:pPr>
        <w:pStyle w:val="Odstavec1-1a"/>
        <w:numPr>
          <w:ilvl w:val="0"/>
          <w:numId w:val="0"/>
        </w:numPr>
        <w:ind w:left="737"/>
        <w:rPr>
          <w:rStyle w:val="Tun9b"/>
        </w:rPr>
      </w:pPr>
      <w:r>
        <w:rPr>
          <w:rStyle w:val="Tun9b"/>
        </w:rPr>
        <w:t xml:space="preserve">b) </w:t>
      </w:r>
      <w:r w:rsidR="0077344A" w:rsidRPr="00AB43C2">
        <w:rPr>
          <w:rStyle w:val="Tun9b"/>
        </w:rPr>
        <w:t>zástupce stavbyvedoucího</w:t>
      </w:r>
    </w:p>
    <w:p w14:paraId="288EB777" w14:textId="77777777" w:rsidR="0077344A" w:rsidRPr="00D03285" w:rsidRDefault="0077344A" w:rsidP="0077344A">
      <w:pPr>
        <w:pStyle w:val="Odrka1-2-"/>
      </w:pPr>
      <w:r w:rsidRPr="00D03285">
        <w:t>nejméně 5 let praxe v řízení provádění staveb železničních drah;</w:t>
      </w:r>
    </w:p>
    <w:p w14:paraId="06212248" w14:textId="789EA51A" w:rsidR="0077344A" w:rsidRPr="00CC2747" w:rsidRDefault="0077344A" w:rsidP="0077344A">
      <w:pPr>
        <w:pStyle w:val="Odrka1-2-"/>
      </w:pPr>
      <w:r w:rsidRPr="00CC2747">
        <w:t>zkušenost s řízením realizace alespoň jedné zakázky – stavby železničních drah v </w:t>
      </w:r>
      <w:r w:rsidRPr="003215CA">
        <w:t xml:space="preserve">hodnotě </w:t>
      </w:r>
      <w:r w:rsidRPr="00462125">
        <w:rPr>
          <w:b/>
          <w:bCs/>
        </w:rPr>
        <w:t xml:space="preserve">nejméně </w:t>
      </w:r>
      <w:r w:rsidR="009B1252" w:rsidRPr="00462125">
        <w:rPr>
          <w:b/>
          <w:bCs/>
        </w:rPr>
        <w:t xml:space="preserve">155 </w:t>
      </w:r>
      <w:r w:rsidRPr="00462125">
        <w:rPr>
          <w:b/>
          <w:bCs/>
        </w:rPr>
        <w:t>mil. Kč bez DPH</w:t>
      </w:r>
      <w:r w:rsidRPr="003215CA">
        <w:t>,</w:t>
      </w:r>
      <w:r w:rsidRPr="00CC2747">
        <w:t xml:space="preserve"> jež zahrnovala novostavbu, rekonstrukci nebo opravu železničního svršku </w:t>
      </w:r>
      <w:r w:rsidRPr="00CC2747">
        <w:rPr>
          <w:rFonts w:ascii="Verdana" w:hAnsi="Verdana" w:cs="Calibri"/>
        </w:rPr>
        <w:t>a spodku,</w:t>
      </w:r>
      <w:r w:rsidRPr="00CC2747">
        <w:rPr>
          <w:rFonts w:ascii="Verdana" w:hAnsi="Verdana" w:cs="Calibri"/>
          <w:i/>
          <w:iCs/>
        </w:rPr>
        <w:t xml:space="preserve"> </w:t>
      </w:r>
      <w:r w:rsidRPr="00CC2747">
        <w:t>a to v posledních 10 letech před zahájením zadávacího řízení;</w:t>
      </w:r>
    </w:p>
    <w:p w14:paraId="402CD3A9" w14:textId="77777777" w:rsidR="0077344A" w:rsidRPr="00CC2747" w:rsidRDefault="0077344A" w:rsidP="0077344A">
      <w:pPr>
        <w:pStyle w:val="Odrka1-2-"/>
      </w:pPr>
      <w:r w:rsidRPr="00CC2747">
        <w:t xml:space="preserve">musí předložit doklad o autorizaci v rozsahu dle § 5 odst. 3 písm. </w:t>
      </w:r>
      <w:r w:rsidRPr="00CC2747">
        <w:rPr>
          <w:b/>
          <w:bCs/>
        </w:rPr>
        <w:t>b)</w:t>
      </w:r>
      <w:r w:rsidRPr="00CC2747">
        <w:t xml:space="preserve"> autorizačního zákona, tedy v oboru </w:t>
      </w:r>
      <w:r w:rsidRPr="00CC2747">
        <w:rPr>
          <w:b/>
          <w:bCs/>
        </w:rPr>
        <w:t>dopravní stavby</w:t>
      </w:r>
      <w:r w:rsidRPr="00CC2747">
        <w:t>;</w:t>
      </w:r>
    </w:p>
    <w:p w14:paraId="12C0DA61" w14:textId="4C25A87C" w:rsidR="0077344A" w:rsidRPr="00CC2747" w:rsidRDefault="0077344A" w:rsidP="00462125">
      <w:pPr>
        <w:pStyle w:val="Odstavec1-1a"/>
        <w:rPr>
          <w:rStyle w:val="Tun9b"/>
        </w:rPr>
      </w:pPr>
      <w:r w:rsidRPr="00CC2747">
        <w:rPr>
          <w:rStyle w:val="Tun9b"/>
        </w:rPr>
        <w:t xml:space="preserve">specialista (vedoucí prací) na železniční svršek </w:t>
      </w:r>
    </w:p>
    <w:p w14:paraId="0B8688DE" w14:textId="77777777" w:rsidR="0077344A" w:rsidRPr="00CC2747" w:rsidRDefault="0077344A" w:rsidP="0077344A">
      <w:pPr>
        <w:pStyle w:val="Odrka1-2-"/>
      </w:pPr>
      <w:r w:rsidRPr="00CC2747">
        <w:t>nejméně 5 let praxe v oboru své specializace (železniční svršek) při provádění staveb;</w:t>
      </w:r>
    </w:p>
    <w:p w14:paraId="433D6705" w14:textId="6C0F5D42" w:rsidR="0077344A" w:rsidRPr="00CC2747" w:rsidRDefault="0077344A" w:rsidP="0077344A">
      <w:pPr>
        <w:pStyle w:val="Odrka1-2-"/>
      </w:pPr>
      <w:r w:rsidRPr="00CC2747">
        <w:t xml:space="preserve">zkušenost s realizací alespoň jedné zakázky – stavby železničních drah, jež zahrnovala novostavbu, rekonstrukci nebo opravu železničního svršku v železniční stanici s minimálním počtem 4 ks výhybek, a to v hodnotě </w:t>
      </w:r>
      <w:r w:rsidRPr="00462125">
        <w:rPr>
          <w:b/>
          <w:bCs/>
        </w:rPr>
        <w:t xml:space="preserve">nejméně </w:t>
      </w:r>
      <w:r w:rsidR="009B1252" w:rsidRPr="00462125">
        <w:rPr>
          <w:b/>
          <w:bCs/>
        </w:rPr>
        <w:t xml:space="preserve">24 </w:t>
      </w:r>
      <w:r w:rsidRPr="00462125">
        <w:rPr>
          <w:b/>
          <w:bCs/>
        </w:rPr>
        <w:t>mil. Kč bez DPH</w:t>
      </w:r>
      <w:r w:rsidRPr="00462125">
        <w:t xml:space="preserve"> </w:t>
      </w:r>
      <w:r w:rsidRPr="00CC2747">
        <w:t>(částka Kč se vztahuje k hodnotě novostavby, rekonstrukce nebo opravy železničního svršku, nikoli k hodnotě zakázky jako celku), a to v posledních 10 letech před zahájením zadávacího řízení;</w:t>
      </w:r>
    </w:p>
    <w:p w14:paraId="25A5F167" w14:textId="77777777" w:rsidR="0077344A" w:rsidRPr="00CC2747" w:rsidRDefault="0077344A" w:rsidP="0077344A">
      <w:pPr>
        <w:pStyle w:val="Odrka1-2-"/>
      </w:pPr>
      <w:r w:rsidRPr="00CC2747">
        <w:t xml:space="preserve">musí předložit doklad o autorizaci v rozsahu dle § 5 odst. 3 písm. </w:t>
      </w:r>
      <w:r w:rsidRPr="00CC2747">
        <w:rPr>
          <w:b/>
          <w:bCs/>
        </w:rPr>
        <w:t>b)</w:t>
      </w:r>
      <w:r w:rsidRPr="00CC2747">
        <w:t xml:space="preserve"> autorizačního zákona, tedy v oboru </w:t>
      </w:r>
      <w:r w:rsidRPr="00CC2747">
        <w:rPr>
          <w:b/>
          <w:bCs/>
        </w:rPr>
        <w:t>dopravní stavby</w:t>
      </w:r>
      <w:r w:rsidRPr="00CC2747">
        <w:t>;</w:t>
      </w:r>
    </w:p>
    <w:p w14:paraId="47009095" w14:textId="77777777" w:rsidR="0077344A" w:rsidRPr="00CC2747" w:rsidRDefault="0077344A" w:rsidP="0077344A">
      <w:pPr>
        <w:pStyle w:val="Odstavec1-1a"/>
        <w:rPr>
          <w:b/>
        </w:rPr>
      </w:pPr>
      <w:r w:rsidRPr="00CC2747">
        <w:rPr>
          <w:b/>
        </w:rPr>
        <w:t>specialista (vedoucí prací) na mosty a inženýrské konstrukce</w:t>
      </w:r>
    </w:p>
    <w:p w14:paraId="7BB78D40" w14:textId="77777777" w:rsidR="0077344A" w:rsidRPr="00CC2747" w:rsidRDefault="0077344A" w:rsidP="0077344A">
      <w:pPr>
        <w:pStyle w:val="Odrka1-2-"/>
      </w:pPr>
      <w:r w:rsidRPr="00CC2747">
        <w:t>nejméně 5 let praxe v oboru své specializace (mosty a inženýrské konstrukce) při provádění staveb;</w:t>
      </w:r>
    </w:p>
    <w:p w14:paraId="4BB2CA62" w14:textId="791580E1" w:rsidR="0077344A" w:rsidRPr="00B95967" w:rsidRDefault="0077344A" w:rsidP="0077344A">
      <w:pPr>
        <w:pStyle w:val="Odrka1-2-"/>
      </w:pPr>
      <w:r w:rsidRPr="00B95967">
        <w:t>zkušenost s realizací alespoň jedné zakázky – stavby železničních drah, jež zahrnovala novostavbu, rekonstrukci nebo opravu železničního ocelového mostu</w:t>
      </w:r>
      <w:r w:rsidR="007543B0">
        <w:t>/mostů</w:t>
      </w:r>
      <w:r w:rsidRPr="00B95967">
        <w:t xml:space="preserve"> </w:t>
      </w:r>
      <w:r w:rsidR="007543B0">
        <w:t xml:space="preserve">s ocelovou nebo železobetonovou konstrukcí, průběžným kolejových ložem, </w:t>
      </w:r>
      <w:r w:rsidRPr="00B95967">
        <w:t xml:space="preserve"> rozpětím minimálně 6 m </w:t>
      </w:r>
      <w:r w:rsidR="007543B0">
        <w:t>nebo železničního podchodu</w:t>
      </w:r>
      <w:r w:rsidR="003D676E">
        <w:t>/podchodů</w:t>
      </w:r>
      <w:r w:rsidR="007543B0">
        <w:t xml:space="preserve"> pod ŽST s bezbariérovým přístupem, </w:t>
      </w:r>
      <w:r w:rsidRPr="00B95967">
        <w:t xml:space="preserve"> v </w:t>
      </w:r>
      <w:r w:rsidRPr="00DD1BD3">
        <w:rPr>
          <w:strike/>
        </w:rPr>
        <w:t>s</w:t>
      </w:r>
      <w:r w:rsidRPr="007543B0">
        <w:t>ouhrnné</w:t>
      </w:r>
      <w:r w:rsidRPr="00B95967">
        <w:t xml:space="preserve"> hodnotě </w:t>
      </w:r>
      <w:r w:rsidRPr="00462125">
        <w:rPr>
          <w:b/>
          <w:bCs/>
        </w:rPr>
        <w:t>nejméně 23 mil. Kč bez DPH</w:t>
      </w:r>
      <w:r w:rsidRPr="00462125">
        <w:t xml:space="preserve"> </w:t>
      </w:r>
      <w:r w:rsidRPr="00B95967">
        <w:t xml:space="preserve">(částka Kč </w:t>
      </w:r>
      <w:r w:rsidR="007543B0" w:rsidRPr="00693F1E">
        <w:t>se vztahuje k hodnotě novostavby, rekonstrukce nebo opravy železničního mostu/mostů</w:t>
      </w:r>
      <w:r w:rsidR="007543B0">
        <w:t xml:space="preserve"> </w:t>
      </w:r>
      <w:r w:rsidR="007543B0" w:rsidRPr="00693F1E">
        <w:t>s ocelovou nebo železobetonovou konstrukcí, průběžným kolejovým ložem, rozpětím min. 6 m nebo železniční</w:t>
      </w:r>
      <w:r w:rsidR="007543B0">
        <w:t>ho</w:t>
      </w:r>
      <w:r w:rsidR="007543B0" w:rsidRPr="00693F1E">
        <w:t xml:space="preserve"> podchod</w:t>
      </w:r>
      <w:r w:rsidR="007543B0">
        <w:t>u</w:t>
      </w:r>
      <w:r w:rsidR="003D676E">
        <w:t>/podchodů</w:t>
      </w:r>
      <w:r w:rsidR="007543B0" w:rsidRPr="00693F1E">
        <w:t xml:space="preserve"> pod ŽST s bezbariérovým přístupem</w:t>
      </w:r>
      <w:r w:rsidRPr="00B95967">
        <w:t>), a to v posledních 10 letech před zahájením zadávacího řízení;</w:t>
      </w:r>
    </w:p>
    <w:p w14:paraId="250AEE71" w14:textId="77777777" w:rsidR="0077344A" w:rsidRDefault="0077344A" w:rsidP="0077344A">
      <w:pPr>
        <w:pStyle w:val="Odrka1-2-"/>
      </w:pPr>
      <w:r w:rsidRPr="00CC2747">
        <w:t xml:space="preserve">musí předložit doklad o autorizaci v rozsahu dle § 5 odst. 3 písm. </w:t>
      </w:r>
      <w:r w:rsidRPr="00CC2747">
        <w:rPr>
          <w:b/>
          <w:bCs/>
        </w:rPr>
        <w:t>d)</w:t>
      </w:r>
      <w:r w:rsidRPr="00CC2747">
        <w:t xml:space="preserve"> autorizačního zákona, tedy v oboru </w:t>
      </w:r>
      <w:r w:rsidRPr="00CC2747">
        <w:rPr>
          <w:b/>
          <w:bCs/>
        </w:rPr>
        <w:t>mosty a inženýrské konstrukce</w:t>
      </w:r>
      <w:r w:rsidRPr="00CC2747">
        <w:t>;</w:t>
      </w:r>
    </w:p>
    <w:p w14:paraId="03EE7187" w14:textId="77777777" w:rsidR="004A6BEE" w:rsidRPr="009B1252" w:rsidRDefault="004A6BEE" w:rsidP="004A6BEE">
      <w:pPr>
        <w:pStyle w:val="Odstavec1-1a"/>
        <w:rPr>
          <w:rStyle w:val="Tun9b"/>
        </w:rPr>
      </w:pPr>
      <w:r w:rsidRPr="009B1252">
        <w:rPr>
          <w:rStyle w:val="Tun9b"/>
        </w:rPr>
        <w:t>specialista (vedoucí prací) na zabezpečovací zařízení</w:t>
      </w:r>
    </w:p>
    <w:p w14:paraId="6D85F153" w14:textId="77777777" w:rsidR="004A6BEE" w:rsidRPr="009B1252" w:rsidRDefault="004A6BEE" w:rsidP="004A6BEE">
      <w:pPr>
        <w:pStyle w:val="Odrka1-2-"/>
      </w:pPr>
      <w:r w:rsidRPr="009B1252">
        <w:t>nejméně 5 let praxe v oboru své specializace (zabezpečovací zařízení) při provádění staveb;</w:t>
      </w:r>
    </w:p>
    <w:p w14:paraId="752392E0" w14:textId="1B56816A" w:rsidR="004A6BEE" w:rsidRPr="009B1252" w:rsidRDefault="004A6BEE" w:rsidP="004A6BEE">
      <w:pPr>
        <w:pStyle w:val="Odrka1-2-"/>
      </w:pPr>
      <w:r w:rsidRPr="009B1252">
        <w:t xml:space="preserve">zkušenost s realizací alespoň jedné </w:t>
      </w:r>
      <w:r w:rsidR="00462125" w:rsidRPr="009B1252">
        <w:t>zakázky – stavby</w:t>
      </w:r>
      <w:r w:rsidRPr="009B1252">
        <w:t xml:space="preserve"> železničních drah, jež zahrnovala novostavbu, rekonstrukci nebo opravu staničního zabezpečovacího zařízení železničních drah v železniční stanici s minimálním </w:t>
      </w:r>
      <w:r w:rsidRPr="00462125">
        <w:t xml:space="preserve">počtem </w:t>
      </w:r>
      <w:r w:rsidR="006961F7" w:rsidRPr="00462125">
        <w:rPr>
          <w:b/>
          <w:bCs/>
        </w:rPr>
        <w:t>4</w:t>
      </w:r>
      <w:r w:rsidRPr="00462125">
        <w:rPr>
          <w:b/>
          <w:bCs/>
        </w:rPr>
        <w:t xml:space="preserve"> ks výhybek</w:t>
      </w:r>
      <w:r w:rsidRPr="009B1252">
        <w:t xml:space="preserve">, a to v hodnotě nejméně </w:t>
      </w:r>
      <w:r w:rsidR="000F6248" w:rsidRPr="00462125">
        <w:rPr>
          <w:b/>
          <w:bCs/>
        </w:rPr>
        <w:t>27 mil.</w:t>
      </w:r>
      <w:r w:rsidRPr="00462125">
        <w:rPr>
          <w:b/>
          <w:bCs/>
        </w:rPr>
        <w:t xml:space="preserve"> Kč bez </w:t>
      </w:r>
      <w:r w:rsidR="009B1252" w:rsidRPr="00462125">
        <w:rPr>
          <w:b/>
          <w:bCs/>
        </w:rPr>
        <w:t>DPH</w:t>
      </w:r>
      <w:r w:rsidR="009B1252" w:rsidRPr="00462125">
        <w:t xml:space="preserve"> </w:t>
      </w:r>
      <w:r w:rsidR="009B1252" w:rsidRPr="009B1252">
        <w:t>(</w:t>
      </w:r>
      <w:r w:rsidRPr="009B1252">
        <w:t>částka Kč se vztahuje k hodnotě novostavby, rekonstrukce nebo opravy zabezpečovacího zařízení železničních drah, nikoli k hodnotě zakázky jako celku), a to v posledních 10 letech před zahájením zadávacího řízení;</w:t>
      </w:r>
    </w:p>
    <w:p w14:paraId="70C69056" w14:textId="0BB0DE95" w:rsidR="004A6BEE" w:rsidRPr="009B1252" w:rsidRDefault="004A6BEE" w:rsidP="004A6BEE">
      <w:pPr>
        <w:pStyle w:val="Odrka1-2-"/>
      </w:pPr>
      <w:r w:rsidRPr="009B1252">
        <w:t xml:space="preserve">musí předložit doklad o autorizaci v rozsahu dle § 5 odst. 3 písm. </w:t>
      </w:r>
      <w:r w:rsidRPr="00462125">
        <w:rPr>
          <w:b/>
          <w:bCs/>
        </w:rPr>
        <w:t>e)</w:t>
      </w:r>
      <w:r w:rsidRPr="009B1252">
        <w:t xml:space="preserve"> autorizačního zákona, tedy </w:t>
      </w:r>
      <w:r w:rsidRPr="00462125">
        <w:rPr>
          <w:b/>
          <w:bCs/>
        </w:rPr>
        <w:t>v oboru technologická zařízení staveb</w:t>
      </w:r>
      <w:r w:rsidRPr="009B1252">
        <w:t>;</w:t>
      </w:r>
    </w:p>
    <w:p w14:paraId="2F6A1A8D" w14:textId="2101C632" w:rsidR="0077344A" w:rsidRPr="00462125" w:rsidRDefault="0077344A" w:rsidP="0077344A">
      <w:pPr>
        <w:pStyle w:val="Odstavec1-1a"/>
        <w:rPr>
          <w:rStyle w:val="Tun9b"/>
        </w:rPr>
      </w:pPr>
      <w:r w:rsidRPr="00462125">
        <w:rPr>
          <w:rStyle w:val="Tun9b"/>
        </w:rPr>
        <w:t>osoba odpovědná za kontrolu kvality</w:t>
      </w:r>
    </w:p>
    <w:p w14:paraId="1489613A" w14:textId="64DDA20A" w:rsidR="0077344A" w:rsidRPr="00462125" w:rsidRDefault="0077344A" w:rsidP="0077344A">
      <w:pPr>
        <w:pStyle w:val="Odrka1-2-"/>
      </w:pPr>
      <w:r w:rsidRPr="00462125">
        <w:t>nejméně 5 let praxe v oboru kontroly kvality, se znalostí ověřování kvality stavebních materiálů;</w:t>
      </w:r>
    </w:p>
    <w:p w14:paraId="7563A4EA" w14:textId="77777777" w:rsidR="0077344A" w:rsidRPr="00836BBA" w:rsidRDefault="0077344A" w:rsidP="0077344A">
      <w:pPr>
        <w:pStyle w:val="Odstavec1-1a"/>
        <w:rPr>
          <w:rStyle w:val="Tun9b"/>
        </w:rPr>
      </w:pPr>
      <w:r w:rsidRPr="00836BBA">
        <w:rPr>
          <w:rStyle w:val="Tun9b"/>
        </w:rPr>
        <w:t>osoba odpovědná za bezpečnost a ochranu zdraví při práci</w:t>
      </w:r>
    </w:p>
    <w:p w14:paraId="0ABAA3B7" w14:textId="77777777" w:rsidR="0077344A" w:rsidRPr="00836BBA" w:rsidRDefault="0077344A" w:rsidP="0077344A">
      <w:pPr>
        <w:pStyle w:val="Odrka1-2-"/>
      </w:pPr>
      <w:r w:rsidRPr="00836BBA">
        <w:lastRenderedPageBreak/>
        <w:t>nejméně 5 let praxe v oboru bezpečnosti a ochrany zdraví při práci;</w:t>
      </w:r>
    </w:p>
    <w:p w14:paraId="35275CF4" w14:textId="1EE56B5F" w:rsidR="0077344A" w:rsidRPr="00836BBA" w:rsidRDefault="0077344A" w:rsidP="0077344A">
      <w:pPr>
        <w:pStyle w:val="Odstavec1-1a"/>
        <w:rPr>
          <w:rStyle w:val="Tun9b"/>
        </w:rPr>
      </w:pPr>
      <w:r w:rsidRPr="00836BBA">
        <w:rPr>
          <w:rStyle w:val="Tun9b"/>
        </w:rPr>
        <w:t>osoba odpovědná za ochranu životního prostředí</w:t>
      </w:r>
    </w:p>
    <w:p w14:paraId="4225BC54" w14:textId="6B676824" w:rsidR="0077344A" w:rsidRPr="00836BBA" w:rsidRDefault="0077344A" w:rsidP="0077344A">
      <w:pPr>
        <w:pStyle w:val="Odrka1-2-"/>
      </w:pPr>
      <w:r w:rsidRPr="00836BBA">
        <w:t>nejméně 5 let praxe v oboru ochrany životního prostředí;</w:t>
      </w:r>
    </w:p>
    <w:p w14:paraId="3CB6CB7E" w14:textId="6AD4CD7E" w:rsidR="0077344A" w:rsidRPr="00836BBA" w:rsidRDefault="0077344A" w:rsidP="0077344A">
      <w:pPr>
        <w:pStyle w:val="Odstavec1-1a"/>
        <w:rPr>
          <w:rStyle w:val="Tun9b"/>
        </w:rPr>
      </w:pPr>
      <w:r w:rsidRPr="00836BBA">
        <w:rPr>
          <w:rStyle w:val="Tun9b"/>
        </w:rPr>
        <w:t>osoba odpovědná za odpadové hospodářství</w:t>
      </w:r>
    </w:p>
    <w:p w14:paraId="4BA9669B" w14:textId="1D2D6528" w:rsidR="0077344A" w:rsidRDefault="0077344A" w:rsidP="0077344A">
      <w:pPr>
        <w:pStyle w:val="Odrka1-2-"/>
      </w:pPr>
      <w:r w:rsidRPr="00836BBA">
        <w:t>nejméně 5 let praxe v oboru odpadového hospodářství</w:t>
      </w:r>
      <w:r w:rsidR="00BF38B7">
        <w:t>.</w:t>
      </w:r>
    </w:p>
    <w:p w14:paraId="0408DA98" w14:textId="77777777" w:rsidR="004A6BEE" w:rsidRPr="00E20ACC" w:rsidRDefault="004A6BEE" w:rsidP="004A6BEE">
      <w:pPr>
        <w:pStyle w:val="Odrka1-2-"/>
        <w:numPr>
          <w:ilvl w:val="0"/>
          <w:numId w:val="0"/>
        </w:numPr>
        <w:ind w:left="1531" w:hanging="454"/>
        <w:rPr>
          <w:strike/>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4A6BEE" w:rsidRPr="008B2021" w14:paraId="73546524" w14:textId="77777777" w:rsidTr="00484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5F6BC254" w14:textId="77777777" w:rsidR="004A6BEE" w:rsidRPr="00C16E21" w:rsidRDefault="004A6BEE" w:rsidP="0048492A">
            <w:r w:rsidRPr="00C16E21">
              <w:t>Zařízení</w:t>
            </w:r>
            <w:r>
              <w:t xml:space="preserve"> (stroje)</w:t>
            </w:r>
            <w:r w:rsidRPr="00C16E21">
              <w:t>:</w:t>
            </w:r>
          </w:p>
        </w:tc>
        <w:tc>
          <w:tcPr>
            <w:tcW w:w="2120" w:type="dxa"/>
            <w:tcBorders>
              <w:bottom w:val="single" w:sz="2" w:space="0" w:color="auto"/>
            </w:tcBorders>
          </w:tcPr>
          <w:p w14:paraId="440AF48C" w14:textId="77777777" w:rsidR="004A6BEE" w:rsidRPr="00C16E21" w:rsidRDefault="004A6BEE" w:rsidP="0048492A">
            <w:pPr>
              <w:cnfStyle w:val="100000000000" w:firstRow="1" w:lastRow="0" w:firstColumn="0" w:lastColumn="0" w:oddVBand="0" w:evenVBand="0" w:oddHBand="0" w:evenHBand="0" w:firstRowFirstColumn="0" w:firstRowLastColumn="0" w:lastRowFirstColumn="0" w:lastRowLastColumn="0"/>
            </w:pPr>
            <w:r w:rsidRPr="00C16E21">
              <w:t>Počet kusů:</w:t>
            </w:r>
          </w:p>
        </w:tc>
      </w:tr>
      <w:tr w:rsidR="004A6BEE" w:rsidRPr="008B2021" w14:paraId="17DD8A0C" w14:textId="77777777" w:rsidTr="0048492A">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07B8FE75" w14:textId="58391609" w:rsidR="004A6BEE" w:rsidRPr="008663D7" w:rsidRDefault="004A6BEE" w:rsidP="0048492A">
            <w:r w:rsidRPr="008663D7">
              <w:t xml:space="preserve">Stroj na pokládku kolejí a výhybek (stroj/zařízení umožňující výstavbu kolejí a výhybek; požadavek lze splnit předložením více strojů </w:t>
            </w:r>
            <w:r w:rsidR="003026E3">
              <w:t>–</w:t>
            </w:r>
            <w:r w:rsidRPr="008663D7">
              <w:t xml:space="preserve"> </w:t>
            </w:r>
            <w:r w:rsidR="003026E3">
              <w:t xml:space="preserve">např. </w:t>
            </w:r>
            <w:r w:rsidRPr="008663D7">
              <w:t>jeden na pokládku kolejí, druhý na pokládku výhybek)</w:t>
            </w:r>
          </w:p>
        </w:tc>
        <w:tc>
          <w:tcPr>
            <w:tcW w:w="2120" w:type="dxa"/>
            <w:tcBorders>
              <w:top w:val="single" w:sz="2" w:space="0" w:color="auto"/>
            </w:tcBorders>
            <w:shd w:val="clear" w:color="auto" w:fill="auto"/>
          </w:tcPr>
          <w:p w14:paraId="5F068307" w14:textId="77777777" w:rsidR="004A6BEE" w:rsidRPr="008663D7" w:rsidRDefault="004A6BEE" w:rsidP="0048492A">
            <w:pPr>
              <w:cnfStyle w:val="000000000000" w:firstRow="0" w:lastRow="0" w:firstColumn="0" w:lastColumn="0" w:oddVBand="0" w:evenVBand="0" w:oddHBand="0" w:evenHBand="0" w:firstRowFirstColumn="0" w:firstRowLastColumn="0" w:lastRowFirstColumn="0" w:lastRowLastColumn="0"/>
            </w:pPr>
            <w:r w:rsidRPr="008663D7">
              <w:t>1 ks</w:t>
            </w:r>
          </w:p>
        </w:tc>
      </w:tr>
      <w:tr w:rsidR="004A6BEE" w:rsidRPr="008B2021" w14:paraId="749C30C7" w14:textId="77777777" w:rsidTr="00484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2905B46B" w14:textId="77777777" w:rsidR="004A6BEE" w:rsidRPr="008663D7" w:rsidRDefault="004A6BEE" w:rsidP="0048492A">
            <w:pPr>
              <w:rPr>
                <w:b w:val="0"/>
              </w:rPr>
            </w:pPr>
            <w:r w:rsidRPr="008663D7">
              <w:rPr>
                <w:b w:val="0"/>
              </w:rPr>
              <w:t xml:space="preserve">Automatické strojní zařízení pro úpravu směrové a výškové polohy koleje a výhybek (v souladu s předpisem SŽ S3/1 v aktuální znění) </w:t>
            </w:r>
          </w:p>
        </w:tc>
        <w:tc>
          <w:tcPr>
            <w:tcW w:w="2120" w:type="dxa"/>
            <w:shd w:val="clear" w:color="auto" w:fill="auto"/>
          </w:tcPr>
          <w:p w14:paraId="5AE74057" w14:textId="77777777" w:rsidR="004A6BEE" w:rsidRPr="008663D7" w:rsidRDefault="004A6BEE" w:rsidP="0048492A">
            <w:pPr>
              <w:cnfStyle w:val="010000000000" w:firstRow="0" w:lastRow="1" w:firstColumn="0" w:lastColumn="0" w:oddVBand="0" w:evenVBand="0" w:oddHBand="0" w:evenHBand="0" w:firstRowFirstColumn="0" w:firstRowLastColumn="0" w:lastRowFirstColumn="0" w:lastRowLastColumn="0"/>
              <w:rPr>
                <w:b w:val="0"/>
              </w:rPr>
            </w:pPr>
            <w:r w:rsidRPr="008663D7">
              <w:rPr>
                <w:b w:val="0"/>
              </w:rPr>
              <w:t>1 ks</w:t>
            </w:r>
          </w:p>
        </w:tc>
      </w:tr>
    </w:tbl>
    <w:p w14:paraId="01D33A9D" w14:textId="77777777" w:rsidR="004A6BEE" w:rsidRDefault="004A6BEE" w:rsidP="008B2021">
      <w:pPr>
        <w:pStyle w:val="Textbezslovn"/>
      </w:pPr>
    </w:p>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proofErr w:type="gramStart"/>
      <w:r>
        <w:t>tvoří</w:t>
      </w:r>
      <w:proofErr w:type="gramEnd"/>
      <w:r>
        <w:t xml:space="preserve">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4C34C7AF" w14:textId="77777777" w:rsidR="004A6BEE" w:rsidRPr="00B95967" w:rsidRDefault="004A6BEE" w:rsidP="004A6BEE">
      <w:pPr>
        <w:pStyle w:val="Odrka1-1"/>
        <w:numPr>
          <w:ilvl w:val="0"/>
          <w:numId w:val="39"/>
        </w:numPr>
      </w:pPr>
      <w:r w:rsidRPr="00B95967">
        <w:t>Automatické strojní zařízení pro úpravu směrové a výškové polohy koleje a výhybek</w:t>
      </w:r>
    </w:p>
    <w:p w14:paraId="1FDD5F9D" w14:textId="77777777" w:rsidR="004A6BEE" w:rsidRDefault="004A6BEE" w:rsidP="004A6BEE">
      <w:pPr>
        <w:pStyle w:val="Odrka1-1"/>
        <w:numPr>
          <w:ilvl w:val="0"/>
          <w:numId w:val="39"/>
        </w:numPr>
      </w:pPr>
      <w:r w:rsidRPr="00B95967">
        <w:t>Stroj na pokládku kolejí a výhybek</w:t>
      </w:r>
      <w:r>
        <w:t xml:space="preserve"> – v případě, že dodavatel </w:t>
      </w:r>
      <w:proofErr w:type="gramStart"/>
      <w:r>
        <w:t>doloží</w:t>
      </w:r>
      <w:proofErr w:type="gramEnd"/>
      <w:r>
        <w:t xml:space="preserve"> stroj, který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 xml:space="preserve">Pokynu generálního ředitele </w:t>
      </w:r>
      <w:r>
        <w:lastRenderedPageBreak/>
        <w:t>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w:t>
      </w:r>
      <w:proofErr w:type="gramStart"/>
      <w:r w:rsidRPr="002F6BE4">
        <w:t>v  přehledu</w:t>
      </w:r>
      <w:proofErr w:type="gramEnd"/>
      <w:r w:rsidRPr="002F6BE4">
        <w:t xml:space="preserve">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w:t>
      </w:r>
      <w:proofErr w:type="gramStart"/>
      <w:r>
        <w:rPr>
          <w:rStyle w:val="Tun9b"/>
          <w:b w:val="0"/>
        </w:rPr>
        <w:t>předloží</w:t>
      </w:r>
      <w:proofErr w:type="gramEnd"/>
      <w:r>
        <w:rPr>
          <w:rStyle w:val="Tun9b"/>
          <w:b w:val="0"/>
        </w:rPr>
        <w:t xml:space="preserve">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452C9114" w14:textId="77777777" w:rsidR="004A6BEE" w:rsidRPr="0006499F" w:rsidRDefault="004A6BEE" w:rsidP="004A6BEE">
      <w:pPr>
        <w:pStyle w:val="Textbezslovn"/>
        <w:rPr>
          <w:rStyle w:val="Tun9b"/>
        </w:rPr>
      </w:pPr>
      <w:r w:rsidRPr="0006499F">
        <w:rPr>
          <w:rStyle w:val="Tun9b"/>
        </w:rPr>
        <w:t xml:space="preserve">Výroba OK  </w:t>
      </w:r>
    </w:p>
    <w:p w14:paraId="59C67D30" w14:textId="77777777" w:rsidR="004A6BEE" w:rsidRDefault="004A6BEE" w:rsidP="004A6BEE">
      <w:pPr>
        <w:pStyle w:val="Textbezslovn"/>
      </w:pPr>
      <w:r>
        <w:t xml:space="preserve">Výrobce konstrukčních ocelových dílců, na které se vztahuje harmonizovaná ČSN EN 1090-1+A1, prokazuje svoji způsobilost Osvědčením o shodě řízení výroby pro příslušnou třídu provádění </w:t>
      </w:r>
      <w:r w:rsidRPr="00C175DA">
        <w:rPr>
          <w:b/>
          <w:bCs/>
        </w:rPr>
        <w:t>typ třídy EXC2 a EXC3</w:t>
      </w:r>
      <w:r>
        <w:t>, který vydává Evropskou komisí jmenovaný Oznámený subjekt.</w:t>
      </w:r>
    </w:p>
    <w:p w14:paraId="2EBD7ADF" w14:textId="77777777" w:rsidR="004A6BEE" w:rsidRPr="0006499F" w:rsidRDefault="004A6BEE" w:rsidP="004A6BEE">
      <w:pPr>
        <w:pStyle w:val="Textbezslovn"/>
        <w:rPr>
          <w:rStyle w:val="Tun9b"/>
        </w:rPr>
      </w:pPr>
      <w:r w:rsidRPr="0006499F">
        <w:rPr>
          <w:rStyle w:val="Tun9b"/>
        </w:rPr>
        <w:t xml:space="preserve">Montáž OK  </w:t>
      </w:r>
    </w:p>
    <w:p w14:paraId="361F8E16" w14:textId="77777777" w:rsidR="004A6BEE" w:rsidRDefault="004A6BEE" w:rsidP="004A6BEE">
      <w:pPr>
        <w:pStyle w:val="Textbezslovn"/>
      </w:pPr>
      <w:r>
        <w:t xml:space="preserve">Dodavatel prokazuje oprávnění k montáži ocelových konstrukcí </w:t>
      </w:r>
      <w:r w:rsidRPr="00C175DA">
        <w:rPr>
          <w:b/>
          <w:bCs/>
        </w:rPr>
        <w:t>typ třídy EXC2 a EXC3</w:t>
      </w:r>
      <w: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w:t>
      </w:r>
      <w:r w:rsidRPr="00B95967">
        <w:t>ČSN EN 1090-2+A1, ČSN 73 2603, ČSN EN ISO 3834 ve vztahu k procesům svařování při montáži a TKP kap. 19,</w:t>
      </w:r>
      <w:r>
        <w:t xml:space="preserve">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w:t>
      </w:r>
      <w:r w:rsidR="00092CC9">
        <w:lastRenderedPageBreak/>
        <w:t>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4"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4"/>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0ED70C7" w:rsidR="0035531B" w:rsidRDefault="005475F4" w:rsidP="0006499F">
      <w:pPr>
        <w:pStyle w:val="Textbezslovn"/>
      </w:pPr>
      <w:r>
        <w:lastRenderedPageBreak/>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777777"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lastRenderedPageBreak/>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5" w:name="_Toc157153152"/>
      <w:r>
        <w:t>DALŠÍ INFORMACE/DOKUMENTY PŘEDKLÁDANÉ DODAVATELEM</w:t>
      </w:r>
      <w:r w:rsidR="00092CC9">
        <w:t xml:space="preserve"> v </w:t>
      </w:r>
      <w:r>
        <w:t>NABÍDCE</w:t>
      </w:r>
      <w:bookmarkEnd w:id="15"/>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2AEE30C4"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026E3">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546159D7" w:rsidR="0035531B" w:rsidRPr="00563C09" w:rsidRDefault="0035531B" w:rsidP="00EE2244">
      <w:pPr>
        <w:pStyle w:val="Odrka1-1"/>
        <w:rPr>
          <w:b/>
          <w:bCs/>
        </w:rPr>
      </w:pPr>
      <w:r w:rsidRPr="0031722E">
        <w:t xml:space="preserve">Specifikaci </w:t>
      </w:r>
      <w:r w:rsidRPr="00563C09">
        <w:t>typu zabezpečovacího zařízení,</w:t>
      </w:r>
      <w:r w:rsidR="00563C09" w:rsidRPr="00563C09">
        <w:t xml:space="preserve"> </w:t>
      </w:r>
      <w:r w:rsidRPr="00563C09">
        <w:t>které bude</w:t>
      </w:r>
      <w:r w:rsidRPr="0031722E">
        <w:t xml:space="preserv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r w:rsidR="00917582" w:rsidRPr="00563C09">
        <w:rPr>
          <w:b/>
          <w:bCs/>
        </w:rPr>
        <w:t>- zabezpečovací zařízení</w:t>
      </w:r>
      <w:r w:rsidRPr="00563C09">
        <w:rPr>
          <w:b/>
          <w:bCs/>
        </w:rPr>
        <w:t>.</w:t>
      </w:r>
    </w:p>
    <w:p w14:paraId="3BA7D578" w14:textId="0C683482"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3B1AA3"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A67ACF">
        <w:rPr>
          <w:lang w:eastAsia="cs-CZ"/>
        </w:rPr>
        <w:t>s mezinárodními sankcemi</w:t>
      </w:r>
      <w:r w:rsidR="00A67ACF">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FD1EFEA"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lastRenderedPageBreak/>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67DE32F3" w:rsidR="0035531B" w:rsidRDefault="0035531B" w:rsidP="0048492A">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lastRenderedPageBreak/>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6" w:name="_Toc157153153"/>
      <w:r>
        <w:t>PROHLÍDKA MÍSTA PLNĚNÍ (STAVENIŠTĚ)</w:t>
      </w:r>
      <w:bookmarkEnd w:id="16"/>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7" w:name="_Toc157153154"/>
      <w:r>
        <w:t>JAZYK NABÍDEK</w:t>
      </w:r>
      <w:r w:rsidR="00293005" w:rsidRPr="00293005">
        <w:t xml:space="preserve"> </w:t>
      </w:r>
      <w:r w:rsidR="00293005">
        <w:t>A KOMUNIKAČNÍ JAZYK</w:t>
      </w:r>
      <w:bookmarkEnd w:id="17"/>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8" w:name="_Toc157153155"/>
      <w:r>
        <w:t>OBSAH</w:t>
      </w:r>
      <w:r w:rsidR="00845C50">
        <w:t xml:space="preserve"> a </w:t>
      </w:r>
      <w:r>
        <w:t>PODÁVÁNÍ NABÍDEK</w:t>
      </w:r>
      <w:bookmarkEnd w:id="18"/>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43C6C255" w14:textId="77777777" w:rsidR="006878F6" w:rsidRPr="006878F6" w:rsidRDefault="00272A15" w:rsidP="0048492A">
      <w:pPr>
        <w:pStyle w:val="Text1-1"/>
        <w:rPr>
          <w:rStyle w:val="Hypertextovodkaz"/>
          <w:noProof w:val="0"/>
          <w:color w:val="auto"/>
          <w:u w:val="none"/>
        </w:rPr>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ástroji E-</w:t>
      </w:r>
      <w:r>
        <w:lastRenderedPageBreak/>
        <w:t xml:space="preserv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w:t>
      </w:r>
      <w:r w:rsidR="006878F6">
        <w:t xml:space="preserve">Velikost samotné nabídky jako celku není nijak omezena. Zadavatel poskytuje Soupis prací jako součást zadávací dokumentace ve formátu XLSX a ve formátu XML. Soupis prací ve formátu XML má strukturu dat dle datového předpisu </w:t>
      </w:r>
      <w:r w:rsidR="006878F6" w:rsidRPr="0028796C">
        <w:t>XDC (popis datového předpisu viz</w:t>
      </w:r>
      <w:r w:rsidR="006878F6" w:rsidRPr="0028796C">
        <w:rPr>
          <w:rStyle w:val="Hypertextovodkaz"/>
          <w:noProof w:val="0"/>
        </w:rPr>
        <w:t xml:space="preserve"> </w:t>
      </w:r>
      <w:hyperlink r:id="rId22" w:history="1">
        <w:r w:rsidR="006878F6" w:rsidRPr="0028796C">
          <w:rPr>
            <w:rStyle w:val="Hypertextovodkaz"/>
            <w:noProof w:val="0"/>
          </w:rPr>
          <w:t>https://xdc.spravazeleznic.cz</w:t>
        </w:r>
      </w:hyperlink>
      <w:r w:rsidR="006878F6" w:rsidRPr="0028796C">
        <w:rPr>
          <w:rStyle w:val="Hypertextovodkaz"/>
          <w:noProof w:val="0"/>
        </w:rPr>
        <w:t>)</w:t>
      </w:r>
      <w:r w:rsidR="006878F6" w:rsidRPr="0028796C">
        <w:t>.</w:t>
      </w:r>
      <w:r w:rsidR="006878F6">
        <w:t xml:space="preserve"> </w:t>
      </w:r>
      <w:r w:rsidR="006878F6" w:rsidRPr="00E11ACD">
        <w:rPr>
          <w:b/>
        </w:rPr>
        <w:t>Oceněný Soupis prací bude dodavatelem v nabídce předložen pouze ve formátu XML</w:t>
      </w:r>
      <w:r w:rsidR="006878F6">
        <w:rPr>
          <w:b/>
        </w:rPr>
        <w:t xml:space="preserve"> </w:t>
      </w:r>
      <w:r w:rsidR="006878F6" w:rsidRPr="00687D83">
        <w:rPr>
          <w:b/>
        </w:rPr>
        <w:t xml:space="preserve">(datový </w:t>
      </w:r>
      <w:r w:rsidR="006878F6" w:rsidRPr="0028796C">
        <w:rPr>
          <w:b/>
        </w:rPr>
        <w:t>předpis XDC).</w:t>
      </w:r>
      <w:r w:rsidR="006878F6" w:rsidRPr="0028796C">
        <w:t xml:space="preserve"> V p</w:t>
      </w:r>
      <w:r w:rsidR="006878F6">
        <w:t xml:space="preserve">řípadě změn a doplnění zadávací dokumentace budou případné změny či úpravy Soupisu prací zadavatelem prováděny ve formátu XML </w:t>
      </w:r>
      <w:r w:rsidR="006878F6">
        <w:rPr>
          <w:rFonts w:ascii="Verdana" w:hAnsi="Verdana"/>
          <w:sz w:val="20"/>
          <w:szCs w:val="20"/>
        </w:rPr>
        <w:t xml:space="preserve">a </w:t>
      </w:r>
      <w:r w:rsidR="006878F6" w:rsidRPr="00D147AF">
        <w:rPr>
          <w:rFonts w:ascii="Verdana" w:hAnsi="Verdana"/>
        </w:rPr>
        <w:t>XLSX</w:t>
      </w:r>
      <w:r w:rsidR="006878F6">
        <w:t xml:space="preserve">.  </w:t>
      </w:r>
      <w:r w:rsidR="006878F6" w:rsidRPr="00F67C1C">
        <w:t xml:space="preserve">Soupis prací ve formátu XML </w:t>
      </w:r>
      <w:r w:rsidR="006878F6" w:rsidRPr="00687D83">
        <w:t xml:space="preserve">(datový </w:t>
      </w:r>
      <w:r w:rsidR="006878F6" w:rsidRPr="0028796C">
        <w:t xml:space="preserve">předpis XDC </w:t>
      </w:r>
      <w:r w:rsidR="006878F6" w:rsidRPr="00F67C1C">
        <w:t xml:space="preserve">může </w:t>
      </w:r>
      <w:r w:rsidR="006878F6" w:rsidRPr="0028796C">
        <w:t xml:space="preserve">dodavatel také vyplnit v modulu pro ocenění nabídkové ceny na zabezpečeném serveru </w:t>
      </w:r>
      <w:hyperlink r:id="rId23" w:history="1">
        <w:r w:rsidR="006878F6" w:rsidRPr="0028796C">
          <w:rPr>
            <w:rStyle w:val="Hypertextovodkaz"/>
            <w:noProof w:val="0"/>
          </w:rPr>
          <w:t>https://xdc.spravazeleznic.cz</w:t>
        </w:r>
      </w:hyperlink>
      <w:r w:rsidR="006878F6" w:rsidRPr="0028796C">
        <w:rPr>
          <w:rStyle w:val="Hypertextovodkaz"/>
          <w:noProof w:val="0"/>
        </w:rPr>
        <w:t xml:space="preserve">/ </w:t>
      </w:r>
    </w:p>
    <w:p w14:paraId="6978A075" w14:textId="7406CBD6" w:rsidR="0035531B" w:rsidRDefault="0035531B" w:rsidP="0048492A">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B1A1ECE"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ve </w:t>
      </w:r>
      <w:r w:rsidRPr="006878F6">
        <w:t>formě formuláře obsaženého</w:t>
      </w:r>
      <w:r w:rsidR="00092CC9" w:rsidRPr="006878F6">
        <w:t xml:space="preserve"> v </w:t>
      </w:r>
      <w:r w:rsidRPr="006878F6">
        <w:t>Příloze č. 6 těchto Pokynů, včetně požadovaných příloh, přehled technických zařízení</w:t>
      </w:r>
      <w:r w:rsidR="0016248C" w:rsidRPr="006878F6">
        <w:t xml:space="preserve"> (strojů)</w:t>
      </w:r>
      <w:r w:rsidRPr="006878F6">
        <w:t>, které bude mít dodavatel při plnění veřejné zakázky</w:t>
      </w:r>
      <w:r w:rsidR="00BC6D2B" w:rsidRPr="006878F6">
        <w:t xml:space="preserve"> k </w:t>
      </w:r>
      <w:r w:rsidRPr="006878F6">
        <w:t>dispozici ve formě formuláře obsaženého</w:t>
      </w:r>
      <w:r w:rsidR="00092CC9" w:rsidRPr="006878F6">
        <w:t xml:space="preserve"> v </w:t>
      </w:r>
      <w:r w:rsidRPr="006878F6">
        <w:t xml:space="preserve">Příloze č. </w:t>
      </w:r>
      <w:r w:rsidR="00602BF1" w:rsidRPr="006878F6">
        <w:t>12</w:t>
      </w:r>
      <w:r w:rsidRPr="006878F6">
        <w:t xml:space="preserve"> těchto Pokynů včetně příloh</w:t>
      </w:r>
      <w:r w:rsidR="00845C50" w:rsidRPr="006878F6">
        <w:t xml:space="preserve"> a </w:t>
      </w:r>
      <w:r w:rsidRPr="006878F6">
        <w:t>doklady prokazující způsobilost pro výrobu</w:t>
      </w:r>
      <w:r w:rsidR="00845C50" w:rsidRPr="006878F6">
        <w:t xml:space="preserve"> a </w:t>
      </w:r>
      <w:r w:rsidRPr="006878F6">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7236C2D7" w:rsidR="0035531B" w:rsidRPr="00563C09" w:rsidRDefault="0035531B" w:rsidP="00BC6D2B">
      <w:pPr>
        <w:pStyle w:val="Odrka1-1"/>
      </w:pPr>
      <w:r w:rsidRPr="00563C09">
        <w:t xml:space="preserve">Specifikace typu zabezpečovacího zařízení dle č. 9.1 těchto Pokynů. </w:t>
      </w:r>
    </w:p>
    <w:p w14:paraId="586EB09B" w14:textId="0BF77CCE" w:rsidR="00602BF1" w:rsidRDefault="00602BF1" w:rsidP="00BC6D2B">
      <w:pPr>
        <w:pStyle w:val="Odrka1-1"/>
      </w:pPr>
      <w:r w:rsidRPr="00010882">
        <w:rPr>
          <w:lang w:eastAsia="cs-CZ"/>
        </w:rPr>
        <w:t>Čestné prohlášení o splnění podmínek v souvislosti</w:t>
      </w:r>
      <w:r w:rsidR="0083428F">
        <w:rPr>
          <w:lang w:eastAsia="cs-CZ"/>
        </w:rPr>
        <w:t xml:space="preserve"> </w:t>
      </w:r>
      <w:r w:rsidR="00A67ACF">
        <w:rPr>
          <w:lang w:eastAsia="cs-CZ"/>
        </w:rPr>
        <w:t>s mezinárodními sankcemi</w:t>
      </w:r>
      <w:r w:rsidR="00A67ACF">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9" w:name="_Toc157153156"/>
      <w:r>
        <w:t>POŽADAVKY NA ZPRACOVÁNÍ NABÍDKOVÉ CENY</w:t>
      </w:r>
      <w:bookmarkEnd w:id="19"/>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 xml:space="preserve">jiných položkách </w:t>
      </w:r>
      <w:r w:rsidRPr="007038DC">
        <w:rPr>
          <w:rStyle w:val="Tun9b"/>
        </w:rPr>
        <w:lastRenderedPageBreak/>
        <w:t>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4744C255" w:rsidR="009D2EAA" w:rsidRPr="00890916" w:rsidRDefault="009D2EAA" w:rsidP="006878F6">
      <w:pPr>
        <w:pStyle w:val="Text1-1"/>
      </w:pPr>
      <w:r w:rsidRPr="005E10C4">
        <w:rPr>
          <w:b/>
        </w:rPr>
        <w:t xml:space="preserve">Zadavatel nesděluje výši předpokládané hodnoty zakázky. Zadavatel stanovuje závaznou zadávací podmínku tak, že částka </w:t>
      </w:r>
      <w:r w:rsidR="003D676E">
        <w:rPr>
          <w:rStyle w:val="Tun9b"/>
        </w:rPr>
        <w:t>1 274 572 712</w:t>
      </w:r>
      <w:r w:rsidR="006878F6" w:rsidRPr="006A3227">
        <w:rPr>
          <w:rStyle w:val="Tun9b"/>
        </w:rPr>
        <w:t>,-</w:t>
      </w:r>
      <w:r w:rsidR="006878F6">
        <w:rPr>
          <w:b/>
        </w:rPr>
        <w:t xml:space="preserve"> </w:t>
      </w:r>
      <w:r w:rsidRPr="005E10C4">
        <w:rPr>
          <w:b/>
        </w:rPr>
        <w:t xml:space="preserve">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0" w:name="_Toc157153157"/>
      <w:r>
        <w:t>VARIANTY NABÍDKY, VÝHRADA ZMĚNY DODAVATELE</w:t>
      </w:r>
      <w:bookmarkEnd w:id="20"/>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lastRenderedPageBreak/>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1" w:name="_Toc157153158"/>
      <w:r>
        <w:t>OTEVÍRÁNÍ NABÍDEK</w:t>
      </w:r>
      <w:bookmarkEnd w:id="2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2" w:name="_Toc157153159"/>
      <w:r>
        <w:t>POSOUZENÍ SPLNĚNÍ PODMÍNEK ÚČASTI</w:t>
      </w:r>
      <w:bookmarkEnd w:id="2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3" w:name="_Toc157153160"/>
      <w:r>
        <w:t>HODNOCENÍ NABÍDEK</w:t>
      </w:r>
      <w:bookmarkEnd w:id="23"/>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w:t>
      </w:r>
      <w:r>
        <w:lastRenderedPageBreak/>
        <w:t xml:space="preserve">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4" w:name="_Toc157153161"/>
      <w:r>
        <w:t>ZRUŠENÍ ZADÁVACÍHO ŘÍZENÍ</w:t>
      </w:r>
      <w:bookmarkEnd w:id="24"/>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366CA65" w:rsidR="00574274" w:rsidRDefault="00574274" w:rsidP="006878F6">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25" w:name="_Toc157153162"/>
      <w:r>
        <w:t>UZAVŘENÍ SMLOUVY</w:t>
      </w:r>
      <w:bookmarkEnd w:id="25"/>
    </w:p>
    <w:p w14:paraId="033D23D8" w14:textId="0438D479" w:rsidR="0035531B" w:rsidRPr="00563C09"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rsidRPr="00563C09">
        <w:t xml:space="preserve">Smlouvy a jejich </w:t>
      </w:r>
      <w:r w:rsidRPr="00563C09">
        <w:t xml:space="preserve">součásti. </w:t>
      </w:r>
    </w:p>
    <w:p w14:paraId="749D6CB7" w14:textId="6706B845" w:rsidR="0035531B" w:rsidRPr="00563C09" w:rsidRDefault="0035531B" w:rsidP="0048492A">
      <w:pPr>
        <w:pStyle w:val="Text1-1"/>
      </w:pPr>
      <w:r w:rsidRPr="00563C09">
        <w:t>Zadavatel si</w:t>
      </w:r>
      <w:r w:rsidR="00092CC9" w:rsidRPr="00563C09">
        <w:t xml:space="preserve"> v </w:t>
      </w:r>
      <w:r w:rsidRPr="00563C09">
        <w:t>souladu</w:t>
      </w:r>
      <w:r w:rsidR="00845C50" w:rsidRPr="00563C09">
        <w:t xml:space="preserve"> s </w:t>
      </w:r>
      <w:r w:rsidRPr="00563C09">
        <w:t>§ 100 odst. 1 ZZVZ vyhrazuje změnu závazku ze</w:t>
      </w:r>
      <w:r w:rsidR="00563C09" w:rsidRPr="00563C09">
        <w:t xml:space="preserve"> </w:t>
      </w:r>
      <w:r w:rsidR="009635EE" w:rsidRPr="00563C09">
        <w:t>smluv</w:t>
      </w:r>
      <w:r w:rsidRPr="00563C09">
        <w:t>, kter</w:t>
      </w:r>
      <w:r w:rsidR="009635EE" w:rsidRPr="00563C09">
        <w:t>é</w:t>
      </w:r>
      <w:r w:rsidRPr="00563C09">
        <w:t xml:space="preserve"> bud</w:t>
      </w:r>
      <w:r w:rsidR="009635EE" w:rsidRPr="00563C09">
        <w:t>ou</w:t>
      </w:r>
      <w:r w:rsidRPr="00563C09">
        <w:t xml:space="preserve"> uzavřen</w:t>
      </w:r>
      <w:r w:rsidR="009635EE" w:rsidRPr="00563C09">
        <w:t>y</w:t>
      </w:r>
      <w:r w:rsidR="00845C50" w:rsidRPr="00563C09">
        <w:t xml:space="preserve"> s </w:t>
      </w:r>
      <w:r w:rsidRPr="00563C09">
        <w:t xml:space="preserve">vybraným dodavatelem. Podrobnosti jsou uvedeny ve </w:t>
      </w:r>
      <w:r w:rsidR="009635EE" w:rsidRPr="00563C09">
        <w:t>S</w:t>
      </w:r>
      <w:r w:rsidRPr="00563C09">
        <w:t>mlouvě</w:t>
      </w:r>
      <w:r w:rsidR="009635EE" w:rsidRPr="00563C09">
        <w:t xml:space="preserve"> o dílo a ve Smlouvě o poskytování součinnosti</w:t>
      </w:r>
      <w:r w:rsidRPr="00563C09">
        <w:t xml:space="preserve">. Vyhrazenou změnou závazku </w:t>
      </w:r>
      <w:r w:rsidR="009635EE" w:rsidRPr="00563C09">
        <w:t xml:space="preserve">ve Smlouvě o dílo </w:t>
      </w:r>
      <w:r w:rsidRPr="00563C09">
        <w:t>je měření množství každé původní měřitelné položky</w:t>
      </w:r>
      <w:r w:rsidR="00845C50" w:rsidRPr="00563C09">
        <w:t xml:space="preserve"> s </w:t>
      </w:r>
      <w:r w:rsidRPr="00563C09">
        <w:t xml:space="preserve">jednotkovou cenou v </w:t>
      </w:r>
      <w:r w:rsidR="008756F5" w:rsidRPr="00563C09">
        <w:t>Soupisu prací</w:t>
      </w:r>
      <w:r w:rsidRPr="00563C09">
        <w:t xml:space="preserve"> podle článku 12 Smluvních podmínek. Množství prací</w:t>
      </w:r>
      <w:r w:rsidR="00092CC9" w:rsidRPr="00563C09">
        <w:t xml:space="preserve"> v </w:t>
      </w:r>
      <w:r w:rsidRPr="00563C09">
        <w:t>takto vyhrazené změně se nezapočít</w:t>
      </w:r>
      <w:r w:rsidR="00EB5D4D" w:rsidRPr="00563C09">
        <w:t>ává do limitů pro změny podle § </w:t>
      </w:r>
      <w:r w:rsidRPr="00563C09">
        <w:t xml:space="preserve">222 ZZVZ. </w:t>
      </w:r>
      <w:r w:rsidR="000A7A9C" w:rsidRPr="00563C09">
        <w:rPr>
          <w:szCs w:val="24"/>
        </w:rPr>
        <w:t xml:space="preserve">Zadavatel si dále vyhrazuje právo valorizovat smluvní cenu sjednanou ve </w:t>
      </w:r>
      <w:r w:rsidR="009635EE" w:rsidRPr="00563C09">
        <w:rPr>
          <w:szCs w:val="24"/>
        </w:rPr>
        <w:t>S</w:t>
      </w:r>
      <w:r w:rsidR="000A7A9C" w:rsidRPr="00563C09">
        <w:rPr>
          <w:szCs w:val="24"/>
        </w:rPr>
        <w:t xml:space="preserve">mlouvě </w:t>
      </w:r>
      <w:r w:rsidR="009635EE" w:rsidRPr="00563C09">
        <w:rPr>
          <w:szCs w:val="24"/>
        </w:rPr>
        <w:t xml:space="preserve">o dílo </w:t>
      </w:r>
      <w:r w:rsidR="000A7A9C" w:rsidRPr="00563C09">
        <w:rPr>
          <w:szCs w:val="24"/>
        </w:rPr>
        <w:t xml:space="preserve">uzavřené s vybraným dodavatelem na základě zadávacího řízení této veřejné zakázky, a to za podmínek a způsobem stanovenými </w:t>
      </w:r>
      <w:r w:rsidR="009635EE" w:rsidRPr="00563C09">
        <w:rPr>
          <w:szCs w:val="24"/>
        </w:rPr>
        <w:t xml:space="preserve">touto </w:t>
      </w:r>
      <w:r w:rsidR="000A7A9C" w:rsidRPr="00563C09">
        <w:rPr>
          <w:szCs w:val="24"/>
        </w:rPr>
        <w:t>smlouvou</w:t>
      </w:r>
      <w:r w:rsidR="000A7A9C" w:rsidRPr="00563C09">
        <w:t xml:space="preserve"> podle článku 13.8 Smluvních podmínek</w:t>
      </w:r>
      <w:r w:rsidR="000A7A9C" w:rsidRPr="00563C09">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563C09">
        <w:t xml:space="preserve"> </w:t>
      </w:r>
      <w:r w:rsidR="0083428F">
        <w:t xml:space="preserve">Zadavatel si ve Smlouvě o poskytování součinnosti </w:t>
      </w:r>
      <w:r w:rsidR="0083428F">
        <w:rPr>
          <w:szCs w:val="24"/>
        </w:rPr>
        <w:t>vyhrazuje, že za podmínek v této smlouvě uvedených není povinen</w:t>
      </w:r>
      <w:r w:rsidR="0083428F">
        <w:t xml:space="preserve"> </w:t>
      </w:r>
      <w:r w:rsidR="0083428F">
        <w:rPr>
          <w:rFonts w:eastAsia="SimSun" w:cs="Arial"/>
          <w:bCs/>
          <w:iCs/>
          <w:lang w:eastAsia="ar-SA"/>
        </w:rPr>
        <w:t>vyzvat dodavatele k jejímu plnění, v případě, že takové plnění bude pro zadavatele nepotřebné, případně není povinen vyzvat k plnění v plném rozsahu Man-</w:t>
      </w:r>
      <w:proofErr w:type="spellStart"/>
      <w:r w:rsidR="0083428F">
        <w:rPr>
          <w:rFonts w:eastAsia="SimSun" w:cs="Arial"/>
          <w:bCs/>
          <w:iCs/>
          <w:lang w:eastAsia="ar-SA"/>
        </w:rPr>
        <w:t>days</w:t>
      </w:r>
      <w:proofErr w:type="spellEnd"/>
      <w:r w:rsidR="0083428F">
        <w:rPr>
          <w:rFonts w:eastAsia="SimSun" w:cs="Arial"/>
          <w:bCs/>
          <w:iCs/>
          <w:lang w:eastAsia="ar-SA"/>
        </w:rPr>
        <w:t xml:space="preserve">, </w:t>
      </w:r>
      <w:r w:rsidR="0083428F">
        <w:rPr>
          <w:rFonts w:eastAsia="SimSun" w:cs="Arial"/>
          <w:bCs/>
          <w:iCs/>
          <w:szCs w:val="20"/>
          <w:lang w:eastAsia="ar-SA"/>
        </w:rPr>
        <w:t>pokud to nebude pro naplnění účelu této smlouvy z hlediska rozsahu Součinnosti potřebné</w:t>
      </w:r>
      <w:r w:rsidR="0083428F">
        <w:rPr>
          <w:rFonts w:eastAsia="SimSun" w:cs="Arial"/>
          <w:bCs/>
          <w:iCs/>
          <w:lang w:eastAsia="ar-SA"/>
        </w:rPr>
        <w:t>.</w:t>
      </w:r>
      <w:r w:rsidR="0083428F">
        <w:rPr>
          <w:szCs w:val="24"/>
        </w:rPr>
        <w:t xml:space="preserve"> Zadavatel si dále vyhrazuje právo valorizovat smluvní cenu sjednanou ve Smlouvě o poskytování součinnosti, a to za podmínek a způsobem stanovenými v </w:t>
      </w:r>
      <w:r w:rsidR="0083428F">
        <w:t>článku 5.3 a násl.</w:t>
      </w:r>
      <w:r w:rsidR="0083428F">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w:t>
      </w:r>
      <w:r w:rsidR="00092CC9">
        <w:lastRenderedPageBreak/>
        <w:t>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7016D680" w:rsidR="00CF112C" w:rsidRDefault="0035531B" w:rsidP="008A0DC8">
      <w:pPr>
        <w:pStyle w:val="Odrka1-1"/>
      </w:pPr>
      <w:r>
        <w:t>kopie smlouvy uzavřené</w:t>
      </w:r>
      <w:r w:rsidR="00845C50">
        <w:t xml:space="preserve"> s </w:t>
      </w:r>
      <w:r>
        <w:t xml:space="preserve">výrobcem nebo </w:t>
      </w:r>
      <w:r w:rsidRPr="00563C09">
        <w:t xml:space="preserve">dodavatelem zabezpečovacího zařízení, </w:t>
      </w:r>
      <w:r w:rsidR="00E42D7E" w:rsidRPr="00563C09">
        <w:t>či</w:t>
      </w:r>
      <w:r w:rsidR="00E42D7E">
        <w:t xml:space="preserve">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 xml:space="preserve">č. 194/2022 Sb., o požadavcích na odbornou způsobilost k výkonu činnosti na </w:t>
      </w:r>
      <w:r w:rsidR="00226F37" w:rsidRPr="00705E91">
        <w:lastRenderedPageBreak/>
        <w:t>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36745E35"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287F7A">
        <w:t>8c – v</w:t>
      </w:r>
      <w:r w:rsidR="00092CC9">
        <w:t> </w:t>
      </w:r>
      <w:r>
        <w:t>rozsahu projektování UTZ/E</w:t>
      </w:r>
      <w:r w:rsidR="0083428F">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lastRenderedPageBreak/>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F6969A1"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6" w:name="_Toc157153163"/>
      <w:r>
        <w:t>OCHRANA INFORMACÍ</w:t>
      </w:r>
      <w:bookmarkEnd w:id="26"/>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7" w:name="_Toc157153164"/>
      <w:r>
        <w:t>ZADÁVACÍ LHŮTA</w:t>
      </w:r>
      <w:r w:rsidR="00845C50">
        <w:t xml:space="preserve"> </w:t>
      </w:r>
      <w:r w:rsidR="00092CC9">
        <w:t>A</w:t>
      </w:r>
      <w:r w:rsidR="00845C50">
        <w:t> </w:t>
      </w:r>
      <w:r>
        <w:t>JISTOTA ZA NABÍDKU</w:t>
      </w:r>
      <w:bookmarkEnd w:id="27"/>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636633EE"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17BF2" w:rsidRPr="00F17BF2">
        <w:rPr>
          <w:b/>
          <w:bCs/>
        </w:rPr>
        <w:t>1</w:t>
      </w:r>
      <w:r w:rsidR="00287F7A">
        <w:rPr>
          <w:b/>
          <w:bCs/>
        </w:rPr>
        <w:t>7</w:t>
      </w:r>
      <w:r w:rsidR="00F17BF2" w:rsidRPr="00F17BF2">
        <w:rPr>
          <w:b/>
          <w:bCs/>
        </w:rPr>
        <w:t> 000 000,-</w:t>
      </w:r>
      <w:r w:rsidR="00287F7A">
        <w:rPr>
          <w:b/>
          <w:bCs/>
        </w:rPr>
        <w:t> </w:t>
      </w:r>
      <w:r w:rsidRPr="00F17BF2">
        <w:rPr>
          <w:b/>
          <w:bCs/>
        </w:rPr>
        <w:t xml:space="preserve">Kč </w:t>
      </w:r>
      <w:r>
        <w:t xml:space="preserve">(slovy: </w:t>
      </w:r>
      <w:proofErr w:type="spellStart"/>
      <w:r w:rsidR="00287F7A">
        <w:t>sedmnáct</w:t>
      </w:r>
      <w:r w:rsidR="00F17BF2">
        <w:t>milionů</w:t>
      </w:r>
      <w:proofErr w:type="spellEnd"/>
      <w:r w:rsidR="00F17BF2">
        <w:t xml:space="preserve">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lastRenderedPageBreak/>
        <w:t>pojištění záruky ve prospěch zadavatele.</w:t>
      </w:r>
    </w:p>
    <w:p w14:paraId="79F627C9" w14:textId="5AAB327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F17BF2">
        <w:t>č.ú</w:t>
      </w:r>
      <w:proofErr w:type="spellEnd"/>
      <w:r w:rsidR="00F17BF2">
        <w:t xml:space="preserve">. </w:t>
      </w:r>
      <w:bookmarkStart w:id="28" w:name="_Hlk130417575"/>
      <w:r w:rsidR="00F17BF2" w:rsidRPr="00A76F7A">
        <w:rPr>
          <w:b/>
        </w:rPr>
        <w:t>30007-22307011/0710</w:t>
      </w:r>
      <w:r w:rsidR="00F17BF2">
        <w:t>, Česká národní banka, se sídlem Na Příkopě 28, 115 03 Praha 1</w:t>
      </w:r>
      <w:bookmarkEnd w:id="28"/>
      <w:r w:rsidR="00F17BF2">
        <w:t xml:space="preserve">, variabilní symbol </w:t>
      </w:r>
      <w:r w:rsidR="00F17BF2" w:rsidRPr="0061757F">
        <w:rPr>
          <w:b/>
          <w:bCs/>
        </w:rPr>
        <w:t>5513720006</w:t>
      </w:r>
      <w:r w:rsidR="00F17BF2">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9" w:name="_Toc157153165"/>
      <w:r>
        <w:t>SOCIÁLNĚ A ENVIRO</w:t>
      </w:r>
      <w:r w:rsidR="00417206">
        <w:t>N</w:t>
      </w:r>
      <w:r>
        <w:t>MENTÁLNĚ ODPOVĚDNÉ ZADÁVÁNÍ, INOVACE</w:t>
      </w:r>
      <w:bookmarkEnd w:id="29"/>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3B5F706B" w:rsidR="007D382D" w:rsidRDefault="007D382D" w:rsidP="007D382D">
      <w:pPr>
        <w:pStyle w:val="Odrka1-1"/>
      </w:pPr>
      <w:r w:rsidRPr="0060254E">
        <w:t>recyklaci kameniva vyzískávaného z kolejového lože</w:t>
      </w:r>
      <w:r w:rsidR="00AC5FC7">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30" w:name="_Toc102380477"/>
      <w:bookmarkStart w:id="31" w:name="_Toc103683200"/>
      <w:bookmarkStart w:id="32" w:name="_Toc103932243"/>
      <w:bookmarkStart w:id="33" w:name="_Toc157153166"/>
      <w:r>
        <w:t>Další zadávací podmínky v návaznosti na</w:t>
      </w:r>
      <w:bookmarkEnd w:id="30"/>
      <w:bookmarkEnd w:id="31"/>
      <w:bookmarkEnd w:id="32"/>
      <w:r w:rsidR="003C4EAE" w:rsidRPr="003C4EAE">
        <w:t xml:space="preserve"> </w:t>
      </w:r>
      <w:r w:rsidR="003C4EAE">
        <w:t>MEZINÁRODNÍ sankce, zákaz zadání veřejné zakázky</w:t>
      </w:r>
      <w:bookmarkEnd w:id="33"/>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w:t>
      </w:r>
      <w:r w:rsidRPr="00CD701B">
        <w:lastRenderedPageBreak/>
        <w:t>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3D651DD3"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48492A">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48492A">
        <w:t xml:space="preserve">; </w:t>
      </w:r>
      <w:r w:rsidR="0048492A">
        <w:rPr>
          <w:rStyle w:val="normaltextrun"/>
          <w:rFonts w:ascii="Verdana" w:hAnsi="Verdana"/>
          <w:shd w:val="clear" w:color="auto" w:fill="FFFFFF"/>
        </w:rPr>
        <w:t xml:space="preserve">dle čl. 2 </w:t>
      </w:r>
      <w:r w:rsidR="0048492A" w:rsidRPr="00D4247C">
        <w:rPr>
          <w:rStyle w:val="normaltextrun"/>
          <w:rFonts w:ascii="Verdana" w:hAnsi="Verdana"/>
          <w:bCs/>
          <w:shd w:val="clear" w:color="auto" w:fill="FFFFFF"/>
        </w:rPr>
        <w:t>nařízení Rady (ES) č. 765/2006</w:t>
      </w:r>
      <w:r w:rsidR="0048492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8492A">
        <w:rPr>
          <w:rStyle w:val="normaltextrun"/>
          <w:rFonts w:ascii="Verdana" w:hAnsi="Verdana"/>
          <w:bdr w:val="none" w:sz="0" w:space="0" w:color="auto" w:frame="1"/>
        </w:rPr>
        <w:t xml:space="preserve">dle čl. 2 </w:t>
      </w:r>
      <w:r w:rsidR="0048492A" w:rsidRPr="00D4247C">
        <w:rPr>
          <w:rStyle w:val="normaltextrun"/>
          <w:rFonts w:ascii="Verdana" w:hAnsi="Verdana"/>
          <w:bCs/>
          <w:bdr w:val="none" w:sz="0" w:space="0" w:color="auto" w:frame="1"/>
        </w:rPr>
        <w:t>nařízení Rady (EU) č. 208/2014</w:t>
      </w:r>
      <w:r w:rsidR="0048492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8492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w:t>
      </w:r>
      <w:r w:rsidRPr="00F35FBD">
        <w:lastRenderedPageBreak/>
        <w:t>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4" w:name="_Toc157153167"/>
      <w:r>
        <w:t>PŘÍLOHY TĚCHTO POKYNŮ</w:t>
      </w:r>
      <w:bookmarkEnd w:id="34"/>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E04528C"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A67ACF" w:rsidRPr="00A67ACF">
        <w:rPr>
          <w:lang w:eastAsia="cs-CZ"/>
        </w:rPr>
        <w:t xml:space="preserve"> </w:t>
      </w:r>
      <w:r w:rsidR="00A67ACF">
        <w:rPr>
          <w:lang w:eastAsia="cs-CZ"/>
        </w:rPr>
        <w:t>s mezinárodními sankcemi</w:t>
      </w:r>
    </w:p>
    <w:p w14:paraId="475986FA" w14:textId="104B4FA2" w:rsidR="0035531B" w:rsidRDefault="0035531B" w:rsidP="00564DDD">
      <w:pPr>
        <w:pStyle w:val="Textbezslovn"/>
        <w:tabs>
          <w:tab w:val="left" w:pos="2127"/>
        </w:tabs>
        <w:ind w:left="2127" w:hanging="1390"/>
      </w:pPr>
      <w:r>
        <w:t xml:space="preserve">Příloha č. </w:t>
      </w:r>
      <w:r w:rsidR="006B5BF7">
        <w:t>12</w:t>
      </w:r>
      <w:r>
        <w:tab/>
        <w:t xml:space="preserve">Vzor čestného </w:t>
      </w:r>
      <w:proofErr w:type="gramStart"/>
      <w:r>
        <w:t>prohlášení - přehled</w:t>
      </w:r>
      <w:proofErr w:type="gramEnd"/>
      <w:r>
        <w:t xml:space="preserve">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F17BF2">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2A5CBE9C"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DA2881"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BD1B6EF" w:rsidR="006B5BF7" w:rsidRPr="00964860" w:rsidRDefault="006B5BF7" w:rsidP="006B5BF7">
      <w:pPr>
        <w:pStyle w:val="Nadpisbezsl1-2"/>
      </w:pPr>
      <w:r w:rsidRPr="00010882">
        <w:rPr>
          <w:lang w:eastAsia="cs-CZ"/>
        </w:rPr>
        <w:t xml:space="preserve">Čestné prohlášení o splnění podmínek v souvislosti </w:t>
      </w:r>
      <w:r w:rsidR="00A67ACF">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3025AE0"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46160" w:rsidRPr="006462CF">
        <w:rPr>
          <w:b/>
          <w:bCs/>
        </w:rPr>
        <w:t>Zhotovení souboru staveb –Stavba 1 „Rekonstrukce ŽST Chrastava, Stavba 2 „Rekonstrukce ŽST Hrádek nad Nisou“</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1D77D647"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A67ACF">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60BF3AFC"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C43A5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C43A59">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F3437E">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BCA5A" w14:textId="77777777" w:rsidR="00F3437E" w:rsidRDefault="00F3437E" w:rsidP="00962258">
      <w:pPr>
        <w:spacing w:after="0" w:line="240" w:lineRule="auto"/>
      </w:pPr>
      <w:r>
        <w:separator/>
      </w:r>
    </w:p>
  </w:endnote>
  <w:endnote w:type="continuationSeparator" w:id="0">
    <w:p w14:paraId="4A43B0C1" w14:textId="77777777" w:rsidR="00F3437E" w:rsidRDefault="00F343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40E7" w14:paraId="5CDE79BC" w14:textId="77777777" w:rsidTr="00EB46E5">
      <w:tc>
        <w:tcPr>
          <w:tcW w:w="1361" w:type="dxa"/>
          <w:tcMar>
            <w:left w:w="0" w:type="dxa"/>
            <w:right w:w="0" w:type="dxa"/>
          </w:tcMar>
          <w:vAlign w:val="bottom"/>
        </w:tcPr>
        <w:p w14:paraId="3DE5EB8F" w14:textId="3C8E40AC" w:rsidR="004B40E7" w:rsidRPr="00B8518B" w:rsidRDefault="004B40E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4E5C">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4E5C">
            <w:rPr>
              <w:rStyle w:val="slostrnky"/>
              <w:noProof/>
            </w:rPr>
            <w:t>48</w:t>
          </w:r>
          <w:r w:rsidRPr="00B8518B">
            <w:rPr>
              <w:rStyle w:val="slostrnky"/>
            </w:rPr>
            <w:fldChar w:fldCharType="end"/>
          </w:r>
        </w:p>
      </w:tc>
      <w:tc>
        <w:tcPr>
          <w:tcW w:w="284" w:type="dxa"/>
          <w:shd w:val="clear" w:color="auto" w:fill="auto"/>
          <w:tcMar>
            <w:left w:w="0" w:type="dxa"/>
            <w:right w:w="0" w:type="dxa"/>
          </w:tcMar>
        </w:tcPr>
        <w:p w14:paraId="388A8FC9" w14:textId="77777777" w:rsidR="004B40E7" w:rsidRDefault="004B40E7" w:rsidP="00B8518B">
          <w:pPr>
            <w:pStyle w:val="Zpat"/>
          </w:pPr>
        </w:p>
      </w:tc>
      <w:tc>
        <w:tcPr>
          <w:tcW w:w="425" w:type="dxa"/>
          <w:shd w:val="clear" w:color="auto" w:fill="auto"/>
          <w:tcMar>
            <w:left w:w="0" w:type="dxa"/>
            <w:right w:w="0" w:type="dxa"/>
          </w:tcMar>
        </w:tcPr>
        <w:p w14:paraId="36BAECC2" w14:textId="77777777" w:rsidR="004B40E7" w:rsidRDefault="004B40E7" w:rsidP="00B8518B">
          <w:pPr>
            <w:pStyle w:val="Zpat"/>
          </w:pPr>
        </w:p>
      </w:tc>
      <w:tc>
        <w:tcPr>
          <w:tcW w:w="8505" w:type="dxa"/>
        </w:tcPr>
        <w:p w14:paraId="630D1DEB" w14:textId="77777777" w:rsidR="004B40E7" w:rsidRPr="00781B82" w:rsidRDefault="004B40E7" w:rsidP="005111A2">
          <w:pPr>
            <w:pStyle w:val="Zpat0"/>
          </w:pPr>
          <w:r w:rsidRPr="00781B82">
            <w:t xml:space="preserve">„Rekonstrukce ŽST Chrastava“ </w:t>
          </w:r>
        </w:p>
        <w:p w14:paraId="0941A514" w14:textId="77777777" w:rsidR="004B40E7" w:rsidRPr="00781B82" w:rsidRDefault="004B40E7" w:rsidP="005111A2">
          <w:pPr>
            <w:pStyle w:val="Zpat0"/>
          </w:pPr>
          <w:r w:rsidRPr="00781B82">
            <w:t>„Rekonstrukce ŽST Hrádek nad Nisou“</w:t>
          </w:r>
        </w:p>
        <w:p w14:paraId="3F2A1F4C" w14:textId="77777777" w:rsidR="004B40E7" w:rsidRDefault="004B40E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B40E7" w:rsidRDefault="004B40E7" w:rsidP="0035531B">
          <w:pPr>
            <w:pStyle w:val="Zpat0"/>
          </w:pPr>
          <w:r>
            <w:t xml:space="preserve">Část 2 – </w:t>
          </w:r>
          <w:r w:rsidRPr="0035531B">
            <w:rPr>
              <w:caps/>
            </w:rPr>
            <w:t>Pokyny pro dodavatele</w:t>
          </w:r>
          <w:r>
            <w:t xml:space="preserve"> – Zhotovení stavby</w:t>
          </w:r>
        </w:p>
      </w:tc>
    </w:tr>
  </w:tbl>
  <w:p w14:paraId="5DF1028D" w14:textId="77777777" w:rsidR="004B40E7" w:rsidRPr="00B8518B" w:rsidRDefault="004B40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4B40E7" w:rsidRPr="00B8518B" w:rsidRDefault="004B40E7" w:rsidP="00460660">
    <w:pPr>
      <w:pStyle w:val="Zpat"/>
      <w:rPr>
        <w:sz w:val="2"/>
        <w:szCs w:val="2"/>
      </w:rPr>
    </w:pPr>
  </w:p>
  <w:p w14:paraId="580CEFC5" w14:textId="6F459D5C" w:rsidR="004B40E7" w:rsidRPr="00460660" w:rsidRDefault="004B40E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BCACB" w14:textId="77777777" w:rsidR="00F3437E" w:rsidRDefault="00F3437E" w:rsidP="00962258">
      <w:pPr>
        <w:spacing w:after="0" w:line="240" w:lineRule="auto"/>
      </w:pPr>
      <w:r>
        <w:separator/>
      </w:r>
    </w:p>
  </w:footnote>
  <w:footnote w:type="continuationSeparator" w:id="0">
    <w:p w14:paraId="703509FE" w14:textId="77777777" w:rsidR="00F3437E" w:rsidRDefault="00F3437E" w:rsidP="00962258">
      <w:pPr>
        <w:spacing w:after="0" w:line="240" w:lineRule="auto"/>
      </w:pPr>
      <w:r>
        <w:continuationSeparator/>
      </w:r>
    </w:p>
  </w:footnote>
  <w:footnote w:id="1">
    <w:p w14:paraId="01FEDBCB" w14:textId="77777777" w:rsidR="004B40E7" w:rsidRDefault="004B40E7">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B40E7" w:rsidRDefault="004B40E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B40E7" w:rsidRDefault="004B40E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B40E7" w:rsidRDefault="004B40E7"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B40E7" w:rsidRPr="00EB54C9" w:rsidRDefault="004B40E7"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B40E7" w:rsidRDefault="004B40E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B40E7" w:rsidRDefault="004B40E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B40E7" w:rsidRDefault="004B40E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B40E7" w:rsidRDefault="004B40E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B40E7" w:rsidRDefault="004B40E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B40E7" w:rsidRDefault="004B40E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B40E7" w:rsidRDefault="004B40E7">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B40E7" w:rsidRDefault="004B40E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B40E7" w:rsidRDefault="004B40E7"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B40E7" w:rsidRDefault="004B40E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40E7" w14:paraId="252031F4" w14:textId="77777777" w:rsidTr="00C02D0A">
      <w:trPr>
        <w:trHeight w:hRule="exact" w:val="454"/>
      </w:trPr>
      <w:tc>
        <w:tcPr>
          <w:tcW w:w="1361" w:type="dxa"/>
          <w:tcMar>
            <w:top w:w="57" w:type="dxa"/>
            <w:left w:w="0" w:type="dxa"/>
            <w:right w:w="0" w:type="dxa"/>
          </w:tcMar>
        </w:tcPr>
        <w:p w14:paraId="2B9DCF35" w14:textId="77777777" w:rsidR="004B40E7" w:rsidRPr="00B8518B" w:rsidRDefault="004B40E7" w:rsidP="00523EA7">
          <w:pPr>
            <w:pStyle w:val="Zpat"/>
            <w:rPr>
              <w:rStyle w:val="slostrnky"/>
            </w:rPr>
          </w:pPr>
        </w:p>
      </w:tc>
      <w:tc>
        <w:tcPr>
          <w:tcW w:w="3458" w:type="dxa"/>
          <w:shd w:val="clear" w:color="auto" w:fill="auto"/>
          <w:tcMar>
            <w:top w:w="57" w:type="dxa"/>
            <w:left w:w="0" w:type="dxa"/>
            <w:right w:w="0" w:type="dxa"/>
          </w:tcMar>
        </w:tcPr>
        <w:p w14:paraId="6022F9D2" w14:textId="77777777" w:rsidR="004B40E7" w:rsidRDefault="004B40E7" w:rsidP="00523EA7">
          <w:pPr>
            <w:pStyle w:val="Zpat"/>
          </w:pPr>
        </w:p>
      </w:tc>
      <w:tc>
        <w:tcPr>
          <w:tcW w:w="5698" w:type="dxa"/>
          <w:shd w:val="clear" w:color="auto" w:fill="auto"/>
          <w:tcMar>
            <w:top w:w="57" w:type="dxa"/>
            <w:left w:w="0" w:type="dxa"/>
            <w:right w:w="0" w:type="dxa"/>
          </w:tcMar>
        </w:tcPr>
        <w:p w14:paraId="38D6D7C3" w14:textId="77777777" w:rsidR="004B40E7" w:rsidRPr="00D6163D" w:rsidRDefault="004B40E7" w:rsidP="00D6163D">
          <w:pPr>
            <w:pStyle w:val="Druhdokumentu"/>
          </w:pPr>
        </w:p>
      </w:tc>
    </w:tr>
  </w:tbl>
  <w:p w14:paraId="5F291682" w14:textId="77777777" w:rsidR="004B40E7" w:rsidRPr="00D6163D" w:rsidRDefault="004B40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40E7" w14:paraId="65AA8071" w14:textId="77777777" w:rsidTr="00B22106">
      <w:trPr>
        <w:trHeight w:hRule="exact" w:val="936"/>
      </w:trPr>
      <w:tc>
        <w:tcPr>
          <w:tcW w:w="1361" w:type="dxa"/>
          <w:tcMar>
            <w:left w:w="0" w:type="dxa"/>
            <w:right w:w="0" w:type="dxa"/>
          </w:tcMar>
        </w:tcPr>
        <w:p w14:paraId="34CA8588" w14:textId="77777777" w:rsidR="004B40E7" w:rsidRPr="00B8518B" w:rsidRDefault="004B40E7" w:rsidP="00FC6389">
          <w:pPr>
            <w:pStyle w:val="Zpat"/>
            <w:rPr>
              <w:rStyle w:val="slostrnky"/>
            </w:rPr>
          </w:pPr>
        </w:p>
      </w:tc>
      <w:tc>
        <w:tcPr>
          <w:tcW w:w="3458" w:type="dxa"/>
          <w:shd w:val="clear" w:color="auto" w:fill="auto"/>
          <w:tcMar>
            <w:left w:w="0" w:type="dxa"/>
            <w:right w:w="0" w:type="dxa"/>
          </w:tcMar>
        </w:tcPr>
        <w:p w14:paraId="58717F5C" w14:textId="77777777" w:rsidR="004B40E7" w:rsidRDefault="004B40E7" w:rsidP="00FC6389">
          <w:pPr>
            <w:pStyle w:val="Zpat"/>
          </w:pPr>
        </w:p>
      </w:tc>
      <w:tc>
        <w:tcPr>
          <w:tcW w:w="5756" w:type="dxa"/>
          <w:shd w:val="clear" w:color="auto" w:fill="auto"/>
          <w:tcMar>
            <w:left w:w="0" w:type="dxa"/>
            <w:right w:w="0" w:type="dxa"/>
          </w:tcMar>
        </w:tcPr>
        <w:p w14:paraId="152FCBCF" w14:textId="77777777" w:rsidR="004B40E7" w:rsidRPr="00D6163D" w:rsidRDefault="004B40E7" w:rsidP="00FC6389">
          <w:pPr>
            <w:pStyle w:val="Druhdokumentu"/>
          </w:pPr>
        </w:p>
      </w:tc>
    </w:tr>
    <w:tr w:rsidR="004B40E7" w14:paraId="42490C1C" w14:textId="77777777" w:rsidTr="00B22106">
      <w:trPr>
        <w:trHeight w:hRule="exact" w:val="936"/>
      </w:trPr>
      <w:tc>
        <w:tcPr>
          <w:tcW w:w="1361" w:type="dxa"/>
          <w:tcMar>
            <w:left w:w="0" w:type="dxa"/>
            <w:right w:w="0" w:type="dxa"/>
          </w:tcMar>
        </w:tcPr>
        <w:p w14:paraId="590E4A63" w14:textId="77777777" w:rsidR="004B40E7" w:rsidRPr="00B8518B" w:rsidRDefault="004B40E7" w:rsidP="00FC6389">
          <w:pPr>
            <w:pStyle w:val="Zpat"/>
            <w:rPr>
              <w:rStyle w:val="slostrnky"/>
            </w:rPr>
          </w:pPr>
        </w:p>
      </w:tc>
      <w:tc>
        <w:tcPr>
          <w:tcW w:w="3458" w:type="dxa"/>
          <w:shd w:val="clear" w:color="auto" w:fill="auto"/>
          <w:tcMar>
            <w:left w:w="0" w:type="dxa"/>
            <w:right w:w="0" w:type="dxa"/>
          </w:tcMar>
        </w:tcPr>
        <w:p w14:paraId="1448A1EB" w14:textId="77777777" w:rsidR="004B40E7" w:rsidRDefault="004B40E7" w:rsidP="00FC6389">
          <w:pPr>
            <w:pStyle w:val="Zpat"/>
          </w:pPr>
        </w:p>
      </w:tc>
      <w:tc>
        <w:tcPr>
          <w:tcW w:w="5756" w:type="dxa"/>
          <w:shd w:val="clear" w:color="auto" w:fill="auto"/>
          <w:tcMar>
            <w:left w:w="0" w:type="dxa"/>
            <w:right w:w="0" w:type="dxa"/>
          </w:tcMar>
        </w:tcPr>
        <w:p w14:paraId="417861B4" w14:textId="77777777" w:rsidR="004B40E7" w:rsidRPr="00D6163D" w:rsidRDefault="004B40E7" w:rsidP="00FC6389">
          <w:pPr>
            <w:pStyle w:val="Druhdokumentu"/>
          </w:pPr>
        </w:p>
      </w:tc>
    </w:tr>
  </w:tbl>
  <w:p w14:paraId="07626039" w14:textId="77777777" w:rsidR="004B40E7" w:rsidRPr="00D6163D" w:rsidRDefault="004B40E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B40E7" w:rsidRPr="00460660" w:rsidRDefault="004B40E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C245224"/>
    <w:multiLevelType w:val="hybridMultilevel"/>
    <w:tmpl w:val="F48EA6BC"/>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B62A19E6"/>
    <w:lvl w:ilvl="0">
      <w:start w:val="1"/>
      <w:numFmt w:val="lowerLetter"/>
      <w:pStyle w:val="Odstavec1-1a"/>
      <w:lvlText w:val="%1)"/>
      <w:lvlJc w:val="left"/>
      <w:pPr>
        <w:tabs>
          <w:tab w:val="num" w:pos="1077"/>
        </w:tabs>
        <w:ind w:left="1077" w:hanging="340"/>
      </w:pPr>
      <w:rPr>
        <w:rFonts w:ascii="Verdana" w:hAnsi="Verdana" w:cs="Arial" w:hint="default"/>
        <w:b/>
        <w:bCs/>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AC5264"/>
    <w:multiLevelType w:val="hybridMultilevel"/>
    <w:tmpl w:val="244CC4F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0653458">
    <w:abstractNumId w:val="4"/>
  </w:num>
  <w:num w:numId="2" w16cid:durableId="831026632">
    <w:abstractNumId w:val="1"/>
  </w:num>
  <w:num w:numId="3" w16cid:durableId="813327151">
    <w:abstractNumId w:val="14"/>
  </w:num>
  <w:num w:numId="4" w16cid:durableId="773020279">
    <w:abstractNumId w:val="3"/>
  </w:num>
  <w:num w:numId="5" w16cid:durableId="1640841997">
    <w:abstractNumId w:val="0"/>
  </w:num>
  <w:num w:numId="6" w16cid:durableId="594168685">
    <w:abstractNumId w:val="6"/>
  </w:num>
  <w:num w:numId="7" w16cid:durableId="226262961">
    <w:abstractNumId w:val="11"/>
  </w:num>
  <w:num w:numId="8" w16cid:durableId="558638061">
    <w:abstractNumId w:val="8"/>
  </w:num>
  <w:num w:numId="9" w16cid:durableId="614364329">
    <w:abstractNumId w:val="16"/>
  </w:num>
  <w:num w:numId="10" w16cid:durableId="1050151795">
    <w:abstractNumId w:val="13"/>
  </w:num>
  <w:num w:numId="11" w16cid:durableId="4450003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0880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83476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07427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02622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4075249">
    <w:abstractNumId w:val="10"/>
  </w:num>
  <w:num w:numId="17" w16cid:durableId="3333879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69094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55909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76096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6444126">
    <w:abstractNumId w:val="11"/>
  </w:num>
  <w:num w:numId="22" w16cid:durableId="745079925">
    <w:abstractNumId w:val="11"/>
  </w:num>
  <w:num w:numId="23" w16cid:durableId="480849480">
    <w:abstractNumId w:val="8"/>
  </w:num>
  <w:num w:numId="24" w16cid:durableId="1693995162">
    <w:abstractNumId w:val="0"/>
  </w:num>
  <w:num w:numId="25" w16cid:durableId="458382179">
    <w:abstractNumId w:val="8"/>
  </w:num>
  <w:num w:numId="26" w16cid:durableId="1446464784">
    <w:abstractNumId w:val="0"/>
  </w:num>
  <w:num w:numId="27" w16cid:durableId="824005778">
    <w:abstractNumId w:val="0"/>
  </w:num>
  <w:num w:numId="28" w16cid:durableId="1057052980">
    <w:abstractNumId w:val="8"/>
  </w:num>
  <w:num w:numId="29" w16cid:durableId="1794127841">
    <w:abstractNumId w:val="0"/>
  </w:num>
  <w:num w:numId="30" w16cid:durableId="318122228">
    <w:abstractNumId w:val="8"/>
  </w:num>
  <w:num w:numId="31" w16cid:durableId="1404374128">
    <w:abstractNumId w:val="8"/>
  </w:num>
  <w:num w:numId="32" w16cid:durableId="1535340388">
    <w:abstractNumId w:val="8"/>
  </w:num>
  <w:num w:numId="33" w16cid:durableId="1722705237">
    <w:abstractNumId w:val="0"/>
  </w:num>
  <w:num w:numId="34" w16cid:durableId="668362757">
    <w:abstractNumId w:val="15"/>
  </w:num>
  <w:num w:numId="35" w16cid:durableId="381490438">
    <w:abstractNumId w:val="5"/>
  </w:num>
  <w:num w:numId="36" w16cid:durableId="1076710385">
    <w:abstractNumId w:val="8"/>
  </w:num>
  <w:num w:numId="37" w16cid:durableId="1971130318">
    <w:abstractNumId w:val="7"/>
  </w:num>
  <w:num w:numId="38" w16cid:durableId="145708416">
    <w:abstractNumId w:val="8"/>
  </w:num>
  <w:num w:numId="39" w16cid:durableId="275909402">
    <w:abstractNumId w:val="2"/>
  </w:num>
  <w:num w:numId="40" w16cid:durableId="229074173">
    <w:abstractNumId w:val="8"/>
  </w:num>
  <w:num w:numId="41" w16cid:durableId="1834298437">
    <w:abstractNumId w:val="8"/>
  </w:num>
  <w:num w:numId="42" w16cid:durableId="1943798742">
    <w:abstractNumId w:val="8"/>
  </w:num>
  <w:num w:numId="43" w16cid:durableId="2099979679">
    <w:abstractNumId w:val="12"/>
  </w:num>
  <w:num w:numId="44" w16cid:durableId="1490749801">
    <w:abstractNumId w:val="0"/>
  </w:num>
  <w:num w:numId="45" w16cid:durableId="630091612">
    <w:abstractNumId w:val="9"/>
  </w:num>
  <w:num w:numId="46" w16cid:durableId="459079758">
    <w:abstractNumId w:val="8"/>
  </w:num>
  <w:num w:numId="47" w16cid:durableId="1587031188">
    <w:abstractNumId w:val="8"/>
  </w:num>
  <w:num w:numId="48" w16cid:durableId="398524760">
    <w:abstractNumId w:val="11"/>
  </w:num>
  <w:num w:numId="49" w16cid:durableId="71547013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375F"/>
    <w:rsid w:val="00024A00"/>
    <w:rsid w:val="00025755"/>
    <w:rsid w:val="000266C3"/>
    <w:rsid w:val="000271BB"/>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47E9"/>
    <w:rsid w:val="00085CFB"/>
    <w:rsid w:val="000862E2"/>
    <w:rsid w:val="00090C69"/>
    <w:rsid w:val="00092CC9"/>
    <w:rsid w:val="00095A11"/>
    <w:rsid w:val="00097826"/>
    <w:rsid w:val="00097D92"/>
    <w:rsid w:val="000A1533"/>
    <w:rsid w:val="000A2EAF"/>
    <w:rsid w:val="000A389A"/>
    <w:rsid w:val="000A4E1B"/>
    <w:rsid w:val="000A759B"/>
    <w:rsid w:val="000A7A9C"/>
    <w:rsid w:val="000B1921"/>
    <w:rsid w:val="000B3866"/>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1A85"/>
    <w:rsid w:val="000F26EF"/>
    <w:rsid w:val="000F3ACB"/>
    <w:rsid w:val="000F485A"/>
    <w:rsid w:val="000F6248"/>
    <w:rsid w:val="000F64B0"/>
    <w:rsid w:val="001006E6"/>
    <w:rsid w:val="00104950"/>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56A2"/>
    <w:rsid w:val="0016681F"/>
    <w:rsid w:val="00167788"/>
    <w:rsid w:val="00170275"/>
    <w:rsid w:val="00170EC5"/>
    <w:rsid w:val="001720A6"/>
    <w:rsid w:val="001722FA"/>
    <w:rsid w:val="00173992"/>
    <w:rsid w:val="001747C1"/>
    <w:rsid w:val="00175425"/>
    <w:rsid w:val="00175FBF"/>
    <w:rsid w:val="0017748F"/>
    <w:rsid w:val="00177B82"/>
    <w:rsid w:val="00177D6B"/>
    <w:rsid w:val="00182EAB"/>
    <w:rsid w:val="001855D7"/>
    <w:rsid w:val="00186DA4"/>
    <w:rsid w:val="00191F90"/>
    <w:rsid w:val="001927BE"/>
    <w:rsid w:val="00192A0F"/>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1F7521"/>
    <w:rsid w:val="002028F8"/>
    <w:rsid w:val="002037E4"/>
    <w:rsid w:val="002071BB"/>
    <w:rsid w:val="002072FA"/>
    <w:rsid w:val="00207DF5"/>
    <w:rsid w:val="00212854"/>
    <w:rsid w:val="002172B0"/>
    <w:rsid w:val="00217A21"/>
    <w:rsid w:val="00223DAF"/>
    <w:rsid w:val="00224981"/>
    <w:rsid w:val="00226F37"/>
    <w:rsid w:val="00227BC8"/>
    <w:rsid w:val="00227EE7"/>
    <w:rsid w:val="00233A53"/>
    <w:rsid w:val="002376F6"/>
    <w:rsid w:val="00240B81"/>
    <w:rsid w:val="00240D55"/>
    <w:rsid w:val="00242AF8"/>
    <w:rsid w:val="00242D08"/>
    <w:rsid w:val="002458E8"/>
    <w:rsid w:val="00246BE1"/>
    <w:rsid w:val="00247D01"/>
    <w:rsid w:val="00250254"/>
    <w:rsid w:val="0025030F"/>
    <w:rsid w:val="00253538"/>
    <w:rsid w:val="00253C39"/>
    <w:rsid w:val="00255821"/>
    <w:rsid w:val="00260E94"/>
    <w:rsid w:val="00261A5B"/>
    <w:rsid w:val="00261C5F"/>
    <w:rsid w:val="00262E5B"/>
    <w:rsid w:val="0026385B"/>
    <w:rsid w:val="002641D2"/>
    <w:rsid w:val="0026472A"/>
    <w:rsid w:val="00265B91"/>
    <w:rsid w:val="0026602F"/>
    <w:rsid w:val="00266378"/>
    <w:rsid w:val="0026731A"/>
    <w:rsid w:val="00272A15"/>
    <w:rsid w:val="0027375B"/>
    <w:rsid w:val="00276AFE"/>
    <w:rsid w:val="00281F1B"/>
    <w:rsid w:val="00283649"/>
    <w:rsid w:val="00287F7A"/>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26E3"/>
    <w:rsid w:val="00304E1F"/>
    <w:rsid w:val="0030556D"/>
    <w:rsid w:val="00307641"/>
    <w:rsid w:val="003106D0"/>
    <w:rsid w:val="00311F11"/>
    <w:rsid w:val="00313A89"/>
    <w:rsid w:val="00313E02"/>
    <w:rsid w:val="00316224"/>
    <w:rsid w:val="0031722E"/>
    <w:rsid w:val="00317DA0"/>
    <w:rsid w:val="00321CF3"/>
    <w:rsid w:val="00325A21"/>
    <w:rsid w:val="00325FF5"/>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3C8E"/>
    <w:rsid w:val="003A4513"/>
    <w:rsid w:val="003A545F"/>
    <w:rsid w:val="003A6B2C"/>
    <w:rsid w:val="003B0B71"/>
    <w:rsid w:val="003B1DB6"/>
    <w:rsid w:val="003B2746"/>
    <w:rsid w:val="003B6EF6"/>
    <w:rsid w:val="003B7C2B"/>
    <w:rsid w:val="003C0BF5"/>
    <w:rsid w:val="003C33F2"/>
    <w:rsid w:val="003C39DB"/>
    <w:rsid w:val="003C4EAE"/>
    <w:rsid w:val="003C4F24"/>
    <w:rsid w:val="003C5943"/>
    <w:rsid w:val="003C6721"/>
    <w:rsid w:val="003D1280"/>
    <w:rsid w:val="003D676E"/>
    <w:rsid w:val="003D756E"/>
    <w:rsid w:val="003D7A13"/>
    <w:rsid w:val="003E29D4"/>
    <w:rsid w:val="003E2FAF"/>
    <w:rsid w:val="003E3815"/>
    <w:rsid w:val="003E3CE3"/>
    <w:rsid w:val="003E420D"/>
    <w:rsid w:val="003E459C"/>
    <w:rsid w:val="003E4C13"/>
    <w:rsid w:val="003E4D35"/>
    <w:rsid w:val="003E79F5"/>
    <w:rsid w:val="003F0085"/>
    <w:rsid w:val="003F0707"/>
    <w:rsid w:val="003F1CFD"/>
    <w:rsid w:val="003F2EE3"/>
    <w:rsid w:val="0040352D"/>
    <w:rsid w:val="004039B9"/>
    <w:rsid w:val="00404BA2"/>
    <w:rsid w:val="004078F3"/>
    <w:rsid w:val="00413F8C"/>
    <w:rsid w:val="00416E9C"/>
    <w:rsid w:val="00417206"/>
    <w:rsid w:val="0042036E"/>
    <w:rsid w:val="00427794"/>
    <w:rsid w:val="004304A9"/>
    <w:rsid w:val="00430EE4"/>
    <w:rsid w:val="00433AD5"/>
    <w:rsid w:val="00434583"/>
    <w:rsid w:val="004352C0"/>
    <w:rsid w:val="00440CDA"/>
    <w:rsid w:val="004411C2"/>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57C8E"/>
    <w:rsid w:val="00460660"/>
    <w:rsid w:val="00462125"/>
    <w:rsid w:val="00464BA9"/>
    <w:rsid w:val="0046522D"/>
    <w:rsid w:val="004679D1"/>
    <w:rsid w:val="00471BE0"/>
    <w:rsid w:val="00472C13"/>
    <w:rsid w:val="00473B42"/>
    <w:rsid w:val="00474C08"/>
    <w:rsid w:val="00474DD1"/>
    <w:rsid w:val="00474F4D"/>
    <w:rsid w:val="00476957"/>
    <w:rsid w:val="004806B9"/>
    <w:rsid w:val="0048078A"/>
    <w:rsid w:val="00483969"/>
    <w:rsid w:val="0048486A"/>
    <w:rsid w:val="0048492A"/>
    <w:rsid w:val="00485EB7"/>
    <w:rsid w:val="00486107"/>
    <w:rsid w:val="00487D41"/>
    <w:rsid w:val="004911B2"/>
    <w:rsid w:val="00491827"/>
    <w:rsid w:val="00492C5B"/>
    <w:rsid w:val="004948D1"/>
    <w:rsid w:val="004955D1"/>
    <w:rsid w:val="004A0575"/>
    <w:rsid w:val="004A18D3"/>
    <w:rsid w:val="004A5F32"/>
    <w:rsid w:val="004A6BEE"/>
    <w:rsid w:val="004B1A5C"/>
    <w:rsid w:val="004B2C03"/>
    <w:rsid w:val="004B34E9"/>
    <w:rsid w:val="004B40E7"/>
    <w:rsid w:val="004B4177"/>
    <w:rsid w:val="004B45BA"/>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1A2"/>
    <w:rsid w:val="00511AB9"/>
    <w:rsid w:val="00514105"/>
    <w:rsid w:val="00515634"/>
    <w:rsid w:val="00515B63"/>
    <w:rsid w:val="00517640"/>
    <w:rsid w:val="00520033"/>
    <w:rsid w:val="005210B3"/>
    <w:rsid w:val="0052201D"/>
    <w:rsid w:val="00523096"/>
    <w:rsid w:val="00523BB5"/>
    <w:rsid w:val="00523EA7"/>
    <w:rsid w:val="005250C8"/>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434B"/>
    <w:rsid w:val="005459EB"/>
    <w:rsid w:val="00545EC0"/>
    <w:rsid w:val="005475F4"/>
    <w:rsid w:val="00547B00"/>
    <w:rsid w:val="00547BFE"/>
    <w:rsid w:val="00550DB1"/>
    <w:rsid w:val="00551338"/>
    <w:rsid w:val="00552300"/>
    <w:rsid w:val="00552763"/>
    <w:rsid w:val="00553375"/>
    <w:rsid w:val="00555884"/>
    <w:rsid w:val="00563C09"/>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D2F"/>
    <w:rsid w:val="005A555A"/>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34EC"/>
    <w:rsid w:val="005F365C"/>
    <w:rsid w:val="005F5E08"/>
    <w:rsid w:val="005F6246"/>
    <w:rsid w:val="005F6FD6"/>
    <w:rsid w:val="005F7229"/>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3E6C"/>
    <w:rsid w:val="00614471"/>
    <w:rsid w:val="006146A5"/>
    <w:rsid w:val="006166EF"/>
    <w:rsid w:val="00620402"/>
    <w:rsid w:val="00621B8E"/>
    <w:rsid w:val="00625143"/>
    <w:rsid w:val="00625493"/>
    <w:rsid w:val="0062553C"/>
    <w:rsid w:val="006279CD"/>
    <w:rsid w:val="006310F5"/>
    <w:rsid w:val="006323A4"/>
    <w:rsid w:val="0063462D"/>
    <w:rsid w:val="006350D8"/>
    <w:rsid w:val="00636981"/>
    <w:rsid w:val="00636A27"/>
    <w:rsid w:val="00636F45"/>
    <w:rsid w:val="006378F7"/>
    <w:rsid w:val="00640B30"/>
    <w:rsid w:val="0064190C"/>
    <w:rsid w:val="00642637"/>
    <w:rsid w:val="00647A08"/>
    <w:rsid w:val="0065142B"/>
    <w:rsid w:val="00652AA6"/>
    <w:rsid w:val="00655976"/>
    <w:rsid w:val="00655E4D"/>
    <w:rsid w:val="0065610E"/>
    <w:rsid w:val="006574B5"/>
    <w:rsid w:val="00660AD3"/>
    <w:rsid w:val="006629C0"/>
    <w:rsid w:val="006630EB"/>
    <w:rsid w:val="00663FA4"/>
    <w:rsid w:val="006643AE"/>
    <w:rsid w:val="0066471D"/>
    <w:rsid w:val="006721D3"/>
    <w:rsid w:val="00673CDA"/>
    <w:rsid w:val="00674E23"/>
    <w:rsid w:val="00675773"/>
    <w:rsid w:val="006776B6"/>
    <w:rsid w:val="00681CB3"/>
    <w:rsid w:val="00683213"/>
    <w:rsid w:val="006878F6"/>
    <w:rsid w:val="00687CAF"/>
    <w:rsid w:val="00687D83"/>
    <w:rsid w:val="00691E7D"/>
    <w:rsid w:val="00692012"/>
    <w:rsid w:val="00693150"/>
    <w:rsid w:val="00694B0D"/>
    <w:rsid w:val="00695997"/>
    <w:rsid w:val="00695EA6"/>
    <w:rsid w:val="006961F7"/>
    <w:rsid w:val="006A3227"/>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C58B0"/>
    <w:rsid w:val="006D4276"/>
    <w:rsid w:val="006E0578"/>
    <w:rsid w:val="006E0B47"/>
    <w:rsid w:val="006E0F98"/>
    <w:rsid w:val="006E1025"/>
    <w:rsid w:val="006E2FB1"/>
    <w:rsid w:val="006E314D"/>
    <w:rsid w:val="006E3283"/>
    <w:rsid w:val="006E7459"/>
    <w:rsid w:val="006F13A7"/>
    <w:rsid w:val="006F25FB"/>
    <w:rsid w:val="006F3435"/>
    <w:rsid w:val="006F3937"/>
    <w:rsid w:val="006F6616"/>
    <w:rsid w:val="006F6B09"/>
    <w:rsid w:val="006F7572"/>
    <w:rsid w:val="0070050D"/>
    <w:rsid w:val="0070255F"/>
    <w:rsid w:val="00703544"/>
    <w:rsid w:val="007038DC"/>
    <w:rsid w:val="00704DE5"/>
    <w:rsid w:val="007066BA"/>
    <w:rsid w:val="00706F4C"/>
    <w:rsid w:val="0070752A"/>
    <w:rsid w:val="00710472"/>
    <w:rsid w:val="00710723"/>
    <w:rsid w:val="00712607"/>
    <w:rsid w:val="00713347"/>
    <w:rsid w:val="00713354"/>
    <w:rsid w:val="007134F3"/>
    <w:rsid w:val="007166A1"/>
    <w:rsid w:val="007206EB"/>
    <w:rsid w:val="007210C2"/>
    <w:rsid w:val="007215BA"/>
    <w:rsid w:val="00723ED1"/>
    <w:rsid w:val="00726B38"/>
    <w:rsid w:val="00727ABC"/>
    <w:rsid w:val="007356BD"/>
    <w:rsid w:val="00736AF2"/>
    <w:rsid w:val="00740AF5"/>
    <w:rsid w:val="007411C8"/>
    <w:rsid w:val="007433C7"/>
    <w:rsid w:val="00743525"/>
    <w:rsid w:val="00744F6A"/>
    <w:rsid w:val="00745555"/>
    <w:rsid w:val="00751CF8"/>
    <w:rsid w:val="007541A2"/>
    <w:rsid w:val="007543B0"/>
    <w:rsid w:val="00755818"/>
    <w:rsid w:val="00756953"/>
    <w:rsid w:val="007569E5"/>
    <w:rsid w:val="00756F68"/>
    <w:rsid w:val="007577E8"/>
    <w:rsid w:val="00760FEE"/>
    <w:rsid w:val="00761FE3"/>
    <w:rsid w:val="0076286B"/>
    <w:rsid w:val="00766846"/>
    <w:rsid w:val="0076790E"/>
    <w:rsid w:val="00767D32"/>
    <w:rsid w:val="007725AD"/>
    <w:rsid w:val="00772A62"/>
    <w:rsid w:val="0077344A"/>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399"/>
    <w:rsid w:val="007A67A0"/>
    <w:rsid w:val="007A7B5D"/>
    <w:rsid w:val="007B1E1B"/>
    <w:rsid w:val="007B570C"/>
    <w:rsid w:val="007B7083"/>
    <w:rsid w:val="007B7B96"/>
    <w:rsid w:val="007C3744"/>
    <w:rsid w:val="007C4414"/>
    <w:rsid w:val="007C7823"/>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428F"/>
    <w:rsid w:val="00841BE9"/>
    <w:rsid w:val="0084414D"/>
    <w:rsid w:val="0084440D"/>
    <w:rsid w:val="0084582C"/>
    <w:rsid w:val="00845C50"/>
    <w:rsid w:val="00846113"/>
    <w:rsid w:val="00846789"/>
    <w:rsid w:val="008569A3"/>
    <w:rsid w:val="008578B0"/>
    <w:rsid w:val="00857C45"/>
    <w:rsid w:val="00860F8B"/>
    <w:rsid w:val="008625ED"/>
    <w:rsid w:val="0086570D"/>
    <w:rsid w:val="008668F2"/>
    <w:rsid w:val="00867074"/>
    <w:rsid w:val="0086714F"/>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810"/>
    <w:rsid w:val="008A6217"/>
    <w:rsid w:val="008B2021"/>
    <w:rsid w:val="008B35D1"/>
    <w:rsid w:val="008B53FB"/>
    <w:rsid w:val="008C0335"/>
    <w:rsid w:val="008C33C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60"/>
    <w:rsid w:val="00904780"/>
    <w:rsid w:val="0090635B"/>
    <w:rsid w:val="00906665"/>
    <w:rsid w:val="009067B5"/>
    <w:rsid w:val="0091001C"/>
    <w:rsid w:val="009100A5"/>
    <w:rsid w:val="00911D10"/>
    <w:rsid w:val="00912983"/>
    <w:rsid w:val="00913AFF"/>
    <w:rsid w:val="00914D7C"/>
    <w:rsid w:val="00914E99"/>
    <w:rsid w:val="00915962"/>
    <w:rsid w:val="00917257"/>
    <w:rsid w:val="009174DA"/>
    <w:rsid w:val="00917582"/>
    <w:rsid w:val="00920DEB"/>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698E"/>
    <w:rsid w:val="00977D4C"/>
    <w:rsid w:val="00977F79"/>
    <w:rsid w:val="00980373"/>
    <w:rsid w:val="00990AF0"/>
    <w:rsid w:val="00990C4D"/>
    <w:rsid w:val="00992D9C"/>
    <w:rsid w:val="009931FD"/>
    <w:rsid w:val="00996409"/>
    <w:rsid w:val="00996627"/>
    <w:rsid w:val="00996CB8"/>
    <w:rsid w:val="009978AE"/>
    <w:rsid w:val="009A1C30"/>
    <w:rsid w:val="009A5206"/>
    <w:rsid w:val="009B1252"/>
    <w:rsid w:val="009B2160"/>
    <w:rsid w:val="009B2776"/>
    <w:rsid w:val="009B2943"/>
    <w:rsid w:val="009B2E97"/>
    <w:rsid w:val="009B41F1"/>
    <w:rsid w:val="009B5146"/>
    <w:rsid w:val="009B6631"/>
    <w:rsid w:val="009B7BD3"/>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5420"/>
    <w:rsid w:val="00A0554E"/>
    <w:rsid w:val="00A06472"/>
    <w:rsid w:val="00A0740E"/>
    <w:rsid w:val="00A12463"/>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6F49"/>
    <w:rsid w:val="00A571CA"/>
    <w:rsid w:val="00A57E8D"/>
    <w:rsid w:val="00A6177B"/>
    <w:rsid w:val="00A6228C"/>
    <w:rsid w:val="00A635F9"/>
    <w:rsid w:val="00A66136"/>
    <w:rsid w:val="00A67ACF"/>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E64DC"/>
    <w:rsid w:val="00AF04BF"/>
    <w:rsid w:val="00AF0B01"/>
    <w:rsid w:val="00AF37B2"/>
    <w:rsid w:val="00AF40D8"/>
    <w:rsid w:val="00AF73C4"/>
    <w:rsid w:val="00B008D5"/>
    <w:rsid w:val="00B02F73"/>
    <w:rsid w:val="00B04165"/>
    <w:rsid w:val="00B0559B"/>
    <w:rsid w:val="00B0619F"/>
    <w:rsid w:val="00B10E1A"/>
    <w:rsid w:val="00B118B5"/>
    <w:rsid w:val="00B13A26"/>
    <w:rsid w:val="00B1425B"/>
    <w:rsid w:val="00B14F59"/>
    <w:rsid w:val="00B15D0D"/>
    <w:rsid w:val="00B17C43"/>
    <w:rsid w:val="00B22106"/>
    <w:rsid w:val="00B24B97"/>
    <w:rsid w:val="00B35E89"/>
    <w:rsid w:val="00B370A2"/>
    <w:rsid w:val="00B37595"/>
    <w:rsid w:val="00B4151E"/>
    <w:rsid w:val="00B41DEB"/>
    <w:rsid w:val="00B429CF"/>
    <w:rsid w:val="00B4346B"/>
    <w:rsid w:val="00B445F9"/>
    <w:rsid w:val="00B448FF"/>
    <w:rsid w:val="00B4599F"/>
    <w:rsid w:val="00B45F53"/>
    <w:rsid w:val="00B460D2"/>
    <w:rsid w:val="00B46160"/>
    <w:rsid w:val="00B46A1E"/>
    <w:rsid w:val="00B47984"/>
    <w:rsid w:val="00B50C25"/>
    <w:rsid w:val="00B5357B"/>
    <w:rsid w:val="00B535E1"/>
    <w:rsid w:val="00B5431A"/>
    <w:rsid w:val="00B55F59"/>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19B5"/>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3C5D"/>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38B7"/>
    <w:rsid w:val="00BF3CCF"/>
    <w:rsid w:val="00BF4A13"/>
    <w:rsid w:val="00BF4CB0"/>
    <w:rsid w:val="00BF6325"/>
    <w:rsid w:val="00C02D0A"/>
    <w:rsid w:val="00C03A6E"/>
    <w:rsid w:val="00C04269"/>
    <w:rsid w:val="00C0426C"/>
    <w:rsid w:val="00C05B9F"/>
    <w:rsid w:val="00C15241"/>
    <w:rsid w:val="00C1688F"/>
    <w:rsid w:val="00C17457"/>
    <w:rsid w:val="00C20128"/>
    <w:rsid w:val="00C20BBC"/>
    <w:rsid w:val="00C20E63"/>
    <w:rsid w:val="00C21CCE"/>
    <w:rsid w:val="00C226C0"/>
    <w:rsid w:val="00C2534C"/>
    <w:rsid w:val="00C25974"/>
    <w:rsid w:val="00C273BA"/>
    <w:rsid w:val="00C274B4"/>
    <w:rsid w:val="00C30F06"/>
    <w:rsid w:val="00C3406B"/>
    <w:rsid w:val="00C35479"/>
    <w:rsid w:val="00C3709A"/>
    <w:rsid w:val="00C41FD3"/>
    <w:rsid w:val="00C42FE6"/>
    <w:rsid w:val="00C43A59"/>
    <w:rsid w:val="00C4456C"/>
    <w:rsid w:val="00C44E79"/>
    <w:rsid w:val="00C44F6A"/>
    <w:rsid w:val="00C455B6"/>
    <w:rsid w:val="00C468D6"/>
    <w:rsid w:val="00C478AC"/>
    <w:rsid w:val="00C5336C"/>
    <w:rsid w:val="00C53EBD"/>
    <w:rsid w:val="00C56D0C"/>
    <w:rsid w:val="00C57268"/>
    <w:rsid w:val="00C574FE"/>
    <w:rsid w:val="00C6198E"/>
    <w:rsid w:val="00C66878"/>
    <w:rsid w:val="00C708EA"/>
    <w:rsid w:val="00C70A3C"/>
    <w:rsid w:val="00C70C80"/>
    <w:rsid w:val="00C7216F"/>
    <w:rsid w:val="00C7411D"/>
    <w:rsid w:val="00C75051"/>
    <w:rsid w:val="00C7562E"/>
    <w:rsid w:val="00C75AC5"/>
    <w:rsid w:val="00C75F96"/>
    <w:rsid w:val="00C763CE"/>
    <w:rsid w:val="00C7745B"/>
    <w:rsid w:val="00C776E5"/>
    <w:rsid w:val="00C778A5"/>
    <w:rsid w:val="00C77A59"/>
    <w:rsid w:val="00C8580D"/>
    <w:rsid w:val="00C8643D"/>
    <w:rsid w:val="00C90774"/>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5C63"/>
    <w:rsid w:val="00CE62A4"/>
    <w:rsid w:val="00CE791B"/>
    <w:rsid w:val="00CF112C"/>
    <w:rsid w:val="00CF4237"/>
    <w:rsid w:val="00CF680A"/>
    <w:rsid w:val="00CF681A"/>
    <w:rsid w:val="00CF733D"/>
    <w:rsid w:val="00D034A0"/>
    <w:rsid w:val="00D03583"/>
    <w:rsid w:val="00D048E2"/>
    <w:rsid w:val="00D05C61"/>
    <w:rsid w:val="00D074AE"/>
    <w:rsid w:val="00D10A2D"/>
    <w:rsid w:val="00D11937"/>
    <w:rsid w:val="00D11E34"/>
    <w:rsid w:val="00D139AC"/>
    <w:rsid w:val="00D145E1"/>
    <w:rsid w:val="00D147AF"/>
    <w:rsid w:val="00D14BAA"/>
    <w:rsid w:val="00D1672F"/>
    <w:rsid w:val="00D17BA6"/>
    <w:rsid w:val="00D21061"/>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71334"/>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6E9"/>
    <w:rsid w:val="00DB18F1"/>
    <w:rsid w:val="00DB1DCD"/>
    <w:rsid w:val="00DB49D3"/>
    <w:rsid w:val="00DB619A"/>
    <w:rsid w:val="00DC1461"/>
    <w:rsid w:val="00DC14E1"/>
    <w:rsid w:val="00DC2718"/>
    <w:rsid w:val="00DC3CA2"/>
    <w:rsid w:val="00DC4A2B"/>
    <w:rsid w:val="00DC4DDB"/>
    <w:rsid w:val="00DC6ED4"/>
    <w:rsid w:val="00DD1BD3"/>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4FB7"/>
    <w:rsid w:val="00E0558F"/>
    <w:rsid w:val="00E05DD1"/>
    <w:rsid w:val="00E06712"/>
    <w:rsid w:val="00E11ACD"/>
    <w:rsid w:val="00E121A6"/>
    <w:rsid w:val="00E1257B"/>
    <w:rsid w:val="00E1401B"/>
    <w:rsid w:val="00E14B75"/>
    <w:rsid w:val="00E16FF7"/>
    <w:rsid w:val="00E17252"/>
    <w:rsid w:val="00E20968"/>
    <w:rsid w:val="00E20ACC"/>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5571"/>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2A5"/>
    <w:rsid w:val="00E74868"/>
    <w:rsid w:val="00E84963"/>
    <w:rsid w:val="00E85DF4"/>
    <w:rsid w:val="00E86144"/>
    <w:rsid w:val="00E878EE"/>
    <w:rsid w:val="00E87C33"/>
    <w:rsid w:val="00E911EA"/>
    <w:rsid w:val="00E931D3"/>
    <w:rsid w:val="00E9354C"/>
    <w:rsid w:val="00E96957"/>
    <w:rsid w:val="00E97822"/>
    <w:rsid w:val="00E97E22"/>
    <w:rsid w:val="00EA0A81"/>
    <w:rsid w:val="00EA18ED"/>
    <w:rsid w:val="00EA26C4"/>
    <w:rsid w:val="00EA4E5C"/>
    <w:rsid w:val="00EA69FC"/>
    <w:rsid w:val="00EA6EC7"/>
    <w:rsid w:val="00EB0647"/>
    <w:rsid w:val="00EB104F"/>
    <w:rsid w:val="00EB15FC"/>
    <w:rsid w:val="00EB23FE"/>
    <w:rsid w:val="00EB2EF4"/>
    <w:rsid w:val="00EB464C"/>
    <w:rsid w:val="00EB46E5"/>
    <w:rsid w:val="00EB5D4D"/>
    <w:rsid w:val="00EB756A"/>
    <w:rsid w:val="00EC10AE"/>
    <w:rsid w:val="00EC68A2"/>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0479"/>
    <w:rsid w:val="00EF3CB1"/>
    <w:rsid w:val="00EF66B9"/>
    <w:rsid w:val="00EF6CDE"/>
    <w:rsid w:val="00F012C4"/>
    <w:rsid w:val="00F016C7"/>
    <w:rsid w:val="00F0357C"/>
    <w:rsid w:val="00F05A27"/>
    <w:rsid w:val="00F06156"/>
    <w:rsid w:val="00F1012C"/>
    <w:rsid w:val="00F12DEC"/>
    <w:rsid w:val="00F1359A"/>
    <w:rsid w:val="00F14363"/>
    <w:rsid w:val="00F1664F"/>
    <w:rsid w:val="00F1715C"/>
    <w:rsid w:val="00F17A4F"/>
    <w:rsid w:val="00F17BF2"/>
    <w:rsid w:val="00F17E8A"/>
    <w:rsid w:val="00F20760"/>
    <w:rsid w:val="00F20DE3"/>
    <w:rsid w:val="00F218CF"/>
    <w:rsid w:val="00F21FAD"/>
    <w:rsid w:val="00F23305"/>
    <w:rsid w:val="00F233B6"/>
    <w:rsid w:val="00F23A81"/>
    <w:rsid w:val="00F26A6C"/>
    <w:rsid w:val="00F310F8"/>
    <w:rsid w:val="00F3118D"/>
    <w:rsid w:val="00F31939"/>
    <w:rsid w:val="00F3437C"/>
    <w:rsid w:val="00F3437E"/>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5735A"/>
    <w:rsid w:val="00F60757"/>
    <w:rsid w:val="00F64A4A"/>
    <w:rsid w:val="00F659EB"/>
    <w:rsid w:val="00F71E63"/>
    <w:rsid w:val="00F7345A"/>
    <w:rsid w:val="00F74C1E"/>
    <w:rsid w:val="00F757ED"/>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6389"/>
    <w:rsid w:val="00FD0011"/>
    <w:rsid w:val="00FD2944"/>
    <w:rsid w:val="00FD7140"/>
    <w:rsid w:val="00FE4333"/>
    <w:rsid w:val="00FE6AEC"/>
    <w:rsid w:val="00FE70AE"/>
    <w:rsid w:val="00FF0382"/>
    <w:rsid w:val="00FF1A83"/>
    <w:rsid w:val="00FF2A62"/>
    <w:rsid w:val="00FF3C0D"/>
    <w:rsid w:val="00FF485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3D676E"/>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paragraph" w:customStyle="1" w:styleId="Odrka1-4">
    <w:name w:val="_Odrážka_1-4_•"/>
    <w:basedOn w:val="Odrka1-1"/>
    <w:qFormat/>
    <w:rsid w:val="005111A2"/>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5111A2"/>
    <w:pPr>
      <w:tabs>
        <w:tab w:val="clear" w:pos="2041"/>
        <w:tab w:val="num" w:pos="2325"/>
      </w:tabs>
      <w:spacing w:after="40"/>
      <w:ind w:left="2325" w:hanging="284"/>
    </w:pPr>
  </w:style>
  <w:style w:type="character" w:customStyle="1" w:styleId="normaltextrun">
    <w:name w:val="normaltextrun"/>
    <w:basedOn w:val="Standardnpsmoodstavce"/>
    <w:rsid w:val="00C43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FE117-F2E8-4EBA-8002-DB93CCA35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2F20A3E-9EC9-480A-A0EE-5B03F7AEE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48</Pages>
  <Words>21136</Words>
  <Characters>124706</Characters>
  <Application>Microsoft Office Word</Application>
  <DocSecurity>0</DocSecurity>
  <Lines>1039</Lines>
  <Paragraphs>291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5</cp:revision>
  <cp:lastPrinted>2024-01-26T10:17:00Z</cp:lastPrinted>
  <dcterms:created xsi:type="dcterms:W3CDTF">2024-01-25T09:48:00Z</dcterms:created>
  <dcterms:modified xsi:type="dcterms:W3CDTF">2024-01-26T12:26:00Z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